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7"/>
        <w:ind w:left="0"/>
        <w:rPr>
          <w:rFonts w:ascii="Times New Roman"/>
          <w:sz w:val="19"/>
        </w:rPr>
      </w:pPr>
    </w:p>
    <w:p>
      <w:pPr>
        <w:spacing w:before="33"/>
        <w:ind w:left="259" w:right="360" w:firstLine="0"/>
        <w:jc w:val="center"/>
        <w:rPr>
          <w:b/>
          <w:sz w:val="48"/>
        </w:rPr>
      </w:pPr>
      <w:r>
        <w:rPr>
          <w:b/>
          <w:sz w:val="48"/>
        </w:rPr>
        <w:t>商城县 2022 年农村公路路网改善工程</w:t>
      </w:r>
    </w:p>
    <w:p>
      <w:pPr>
        <w:pStyle w:val="5"/>
        <w:spacing w:before="5"/>
        <w:ind w:left="0"/>
        <w:rPr>
          <w:b/>
          <w:sz w:val="47"/>
        </w:rPr>
      </w:pPr>
    </w:p>
    <w:p>
      <w:pPr>
        <w:spacing w:before="0"/>
        <w:ind w:left="291" w:right="360" w:firstLine="0"/>
        <w:jc w:val="center"/>
        <w:rPr>
          <w:sz w:val="22"/>
        </w:rPr>
      </w:pPr>
      <w:r>
        <w:rPr>
          <w:sz w:val="22"/>
        </w:rPr>
        <w:t>SCLWGC-2022-02 合同段：</w:t>
      </w:r>
    </w:p>
    <w:p>
      <w:pPr>
        <w:pStyle w:val="5"/>
        <w:ind w:left="0"/>
        <w:rPr>
          <w:sz w:val="28"/>
        </w:rPr>
      </w:pPr>
    </w:p>
    <w:p>
      <w:pPr>
        <w:spacing w:before="0"/>
        <w:ind w:left="293" w:right="360" w:firstLine="0"/>
        <w:jc w:val="center"/>
        <w:rPr>
          <w:sz w:val="22"/>
        </w:rPr>
      </w:pPr>
      <w:r>
        <w:rPr>
          <w:sz w:val="22"/>
        </w:rPr>
        <w:t>（商城县X005 观庙镇至双轮河段改建工程）</w:t>
      </w:r>
    </w:p>
    <w:p>
      <w:pPr>
        <w:pStyle w:val="5"/>
        <w:ind w:left="0"/>
        <w:rPr>
          <w:sz w:val="22"/>
        </w:rPr>
      </w:pPr>
    </w:p>
    <w:p>
      <w:pPr>
        <w:pStyle w:val="5"/>
        <w:ind w:left="0"/>
        <w:rPr>
          <w:sz w:val="22"/>
        </w:rPr>
      </w:pPr>
    </w:p>
    <w:p>
      <w:pPr>
        <w:pStyle w:val="5"/>
        <w:ind w:left="0"/>
        <w:rPr>
          <w:sz w:val="22"/>
        </w:rPr>
      </w:pPr>
    </w:p>
    <w:p>
      <w:pPr>
        <w:pStyle w:val="5"/>
        <w:ind w:left="0"/>
        <w:rPr>
          <w:sz w:val="22"/>
        </w:rPr>
      </w:pPr>
    </w:p>
    <w:p>
      <w:pPr>
        <w:pStyle w:val="5"/>
        <w:spacing w:before="11"/>
        <w:ind w:left="0"/>
        <w:rPr>
          <w:sz w:val="26"/>
        </w:rPr>
      </w:pPr>
    </w:p>
    <w:p>
      <w:pPr>
        <w:spacing w:before="0"/>
        <w:ind w:left="58" w:right="360" w:firstLine="0"/>
        <w:jc w:val="center"/>
        <w:rPr>
          <w:b/>
          <w:sz w:val="84"/>
        </w:rPr>
      </w:pPr>
      <w:r>
        <w:rPr>
          <w:b/>
          <w:spacing w:val="151"/>
          <w:sz w:val="84"/>
        </w:rPr>
        <w:t>招标文件</w:t>
      </w:r>
    </w:p>
    <w:p>
      <w:pPr>
        <w:spacing w:before="552"/>
        <w:ind w:left="258" w:right="360" w:firstLine="0"/>
        <w:jc w:val="center"/>
        <w:rPr>
          <w:b/>
          <w:sz w:val="21"/>
        </w:rPr>
      </w:pPr>
      <w:r>
        <w:rPr>
          <w:b/>
          <w:sz w:val="21"/>
        </w:rPr>
        <w:t>招标编号：sczb2022081</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9"/>
        <w:ind w:left="0"/>
        <w:rPr>
          <w:b/>
          <w:sz w:val="26"/>
        </w:rPr>
      </w:pPr>
    </w:p>
    <w:p>
      <w:pPr>
        <w:spacing w:before="0"/>
        <w:ind w:left="2460" w:right="0" w:firstLine="0"/>
        <w:jc w:val="left"/>
        <w:rPr>
          <w:b/>
          <w:sz w:val="32"/>
        </w:rPr>
      </w:pPr>
      <w:r>
        <w:rPr>
          <w:b/>
          <w:spacing w:val="-3"/>
          <w:sz w:val="32"/>
        </w:rPr>
        <w:t>招 标 人：商城县交通运输局</w:t>
      </w:r>
    </w:p>
    <w:p>
      <w:pPr>
        <w:pStyle w:val="5"/>
        <w:ind w:left="0"/>
        <w:rPr>
          <w:b/>
          <w:sz w:val="32"/>
        </w:rPr>
      </w:pPr>
    </w:p>
    <w:p>
      <w:pPr>
        <w:spacing w:before="217" w:line="607" w:lineRule="auto"/>
        <w:ind w:left="2460" w:right="3087" w:firstLine="0"/>
        <w:jc w:val="left"/>
        <w:rPr>
          <w:b/>
          <w:sz w:val="32"/>
        </w:rPr>
      </w:pPr>
      <w:r>
        <w:rPr>
          <w:b/>
          <w:w w:val="95"/>
          <w:sz w:val="32"/>
        </w:rPr>
        <w:t>招标代理：中恒工程咨询有限公司</w:t>
      </w:r>
      <w:r>
        <w:rPr>
          <w:b/>
          <w:sz w:val="32"/>
        </w:rPr>
        <w:t>监督单位：商城县交通运输局</w:t>
      </w:r>
    </w:p>
    <w:p>
      <w:pPr>
        <w:spacing w:before="1"/>
        <w:ind w:left="976" w:right="360" w:firstLine="0"/>
        <w:jc w:val="center"/>
        <w:rPr>
          <w:b/>
          <w:sz w:val="32"/>
        </w:rPr>
      </w:pPr>
      <w:r>
        <w:rPr>
          <w:b/>
          <w:sz w:val="32"/>
        </w:rPr>
        <w:t>二〇二二年十一月</w:t>
      </w:r>
    </w:p>
    <w:p>
      <w:pPr>
        <w:spacing w:after="0"/>
        <w:jc w:val="center"/>
        <w:rPr>
          <w:sz w:val="32"/>
        </w:rPr>
        <w:sectPr>
          <w:footerReference r:id="rId5" w:type="default"/>
          <w:type w:val="continuous"/>
          <w:pgSz w:w="11910" w:h="16840"/>
          <w:pgMar w:top="1600" w:right="720" w:bottom="880" w:left="820" w:header="720" w:footer="687" w:gutter="0"/>
          <w:cols w:space="720" w:num="1"/>
        </w:sectPr>
      </w:pPr>
    </w:p>
    <w:p>
      <w:pPr>
        <w:pStyle w:val="5"/>
        <w:spacing w:before="11"/>
        <w:ind w:left="0"/>
        <w:rPr>
          <w:b/>
          <w:sz w:val="18"/>
        </w:rPr>
      </w:pPr>
    </w:p>
    <w:p>
      <w:pPr>
        <w:pStyle w:val="3"/>
        <w:rPr>
          <w:rFonts w:hint="eastAsia" w:ascii="宋体" w:eastAsia="宋体"/>
        </w:rPr>
      </w:pPr>
      <w:r>
        <w:rPr>
          <w:rFonts w:hint="eastAsia" w:ascii="宋体" w:eastAsia="宋体"/>
        </w:rPr>
        <w:t>目录</w:t>
      </w:r>
    </w:p>
    <w:sdt>
      <w:sdtPr>
        <w:id w:val="2"/>
        <w:docPartObj>
          <w:docPartGallery w:val="Table of Contents"/>
          <w:docPartUnique/>
        </w:docPartObj>
      </w:sdtPr>
      <w:sdtContent>
        <w:p>
          <w:pPr>
            <w:pStyle w:val="6"/>
            <w:tabs>
              <w:tab w:val="right" w:leader="dot" w:pos="10179"/>
            </w:tabs>
            <w:spacing w:before="279"/>
          </w:pPr>
          <w:r>
            <w:fldChar w:fldCharType="begin"/>
          </w:r>
          <w:r>
            <w:instrText xml:space="preserve"> HYPERLINK \l "_bookmark0" </w:instrText>
          </w:r>
          <w:r>
            <w:fldChar w:fldCharType="separate"/>
          </w:r>
          <w:r>
            <w:t>第一卷</w:t>
          </w:r>
          <w:r>
            <w:tab/>
          </w:r>
          <w:r>
            <w:t>2</w:t>
          </w:r>
          <w:r>
            <w:fldChar w:fldCharType="end"/>
          </w:r>
        </w:p>
        <w:p>
          <w:pPr>
            <w:pStyle w:val="6"/>
            <w:tabs>
              <w:tab w:val="right" w:leader="dot" w:pos="10179"/>
            </w:tabs>
            <w:spacing w:before="160"/>
          </w:pPr>
          <w:r>
            <w:fldChar w:fldCharType="begin"/>
          </w:r>
          <w:r>
            <w:instrText xml:space="preserve"> HYPERLINK \l "_bookmark1" </w:instrText>
          </w:r>
          <w:r>
            <w:fldChar w:fldCharType="separate"/>
          </w:r>
          <w:r>
            <w:t>第一章 招标公告</w:t>
          </w:r>
          <w:r>
            <w:tab/>
          </w:r>
          <w:r>
            <w:t>3</w:t>
          </w:r>
          <w:r>
            <w:fldChar w:fldCharType="end"/>
          </w:r>
        </w:p>
        <w:p>
          <w:pPr>
            <w:pStyle w:val="6"/>
            <w:tabs>
              <w:tab w:val="right" w:leader="dot" w:pos="10179"/>
            </w:tabs>
            <w:spacing w:before="159"/>
          </w:pPr>
          <w:r>
            <w:fldChar w:fldCharType="begin"/>
          </w:r>
          <w:r>
            <w:instrText xml:space="preserve"> HYPERLINK \l "_bookmark2" </w:instrText>
          </w:r>
          <w:r>
            <w:fldChar w:fldCharType="separate"/>
          </w:r>
          <w:r>
            <w:t>第二章 投标人须知</w:t>
          </w:r>
          <w:r>
            <w:tab/>
          </w:r>
          <w:r>
            <w:t>7</w:t>
          </w:r>
          <w:r>
            <w:fldChar w:fldCharType="end"/>
          </w:r>
        </w:p>
        <w:p>
          <w:pPr>
            <w:pStyle w:val="6"/>
            <w:tabs>
              <w:tab w:val="right" w:leader="dot" w:pos="10179"/>
            </w:tabs>
            <w:spacing w:before="160"/>
          </w:pPr>
          <w:r>
            <w:fldChar w:fldCharType="begin"/>
          </w:r>
          <w:r>
            <w:instrText xml:space="preserve"> HYPERLINK \l "_bookmark3" </w:instrText>
          </w:r>
          <w:r>
            <w:fldChar w:fldCharType="separate"/>
          </w:r>
          <w:r>
            <w:t>第三章 评标办法</w:t>
          </w:r>
          <w:r>
            <w:tab/>
          </w:r>
          <w:r>
            <w:t>36</w:t>
          </w:r>
          <w:r>
            <w:fldChar w:fldCharType="end"/>
          </w:r>
        </w:p>
        <w:p>
          <w:pPr>
            <w:pStyle w:val="6"/>
            <w:tabs>
              <w:tab w:val="right" w:leader="dot" w:pos="10179"/>
            </w:tabs>
          </w:pPr>
          <w:r>
            <w:fldChar w:fldCharType="begin"/>
          </w:r>
          <w:r>
            <w:instrText xml:space="preserve"> HYPERLINK \l "_bookmark4" </w:instrText>
          </w:r>
          <w:r>
            <w:fldChar w:fldCharType="separate"/>
          </w:r>
          <w:r>
            <w:t>第四章 合同条款及格式</w:t>
          </w:r>
          <w:r>
            <w:tab/>
          </w:r>
          <w:r>
            <w:t>45</w:t>
          </w:r>
          <w:r>
            <w:fldChar w:fldCharType="end"/>
          </w:r>
        </w:p>
        <w:p>
          <w:pPr>
            <w:pStyle w:val="6"/>
            <w:tabs>
              <w:tab w:val="right" w:leader="dot" w:pos="10179"/>
            </w:tabs>
            <w:spacing w:before="161"/>
          </w:pPr>
          <w:r>
            <w:fldChar w:fldCharType="begin"/>
          </w:r>
          <w:r>
            <w:instrText xml:space="preserve"> HYPERLINK \l "_bookmark5" </w:instrText>
          </w:r>
          <w:r>
            <w:fldChar w:fldCharType="separate"/>
          </w:r>
          <w:r>
            <w:t>第五章 工程量清单</w:t>
          </w:r>
          <w:r>
            <w:tab/>
          </w:r>
          <w:r>
            <w:t>8</w:t>
          </w:r>
          <w:r>
            <w:fldChar w:fldCharType="end"/>
          </w:r>
          <w:r>
            <w:t>5</w:t>
          </w:r>
        </w:p>
        <w:p>
          <w:pPr>
            <w:pStyle w:val="6"/>
            <w:tabs>
              <w:tab w:val="right" w:leader="dot" w:pos="10179"/>
            </w:tabs>
          </w:pPr>
          <w:r>
            <w:fldChar w:fldCharType="begin"/>
          </w:r>
          <w:r>
            <w:instrText xml:space="preserve"> HYPERLINK \l "_bookmark6" </w:instrText>
          </w:r>
          <w:r>
            <w:fldChar w:fldCharType="separate"/>
          </w:r>
          <w:r>
            <w:t>第二卷</w:t>
          </w:r>
          <w:r>
            <w:tab/>
          </w:r>
          <w:r>
            <w:t>9</w:t>
          </w:r>
          <w:r>
            <w:fldChar w:fldCharType="end"/>
          </w:r>
          <w:r>
            <w:t>0</w:t>
          </w:r>
        </w:p>
        <w:p>
          <w:pPr>
            <w:pStyle w:val="6"/>
            <w:tabs>
              <w:tab w:val="right" w:leader="dot" w:pos="10179"/>
            </w:tabs>
            <w:spacing w:before="160"/>
          </w:pPr>
          <w:r>
            <w:fldChar w:fldCharType="begin"/>
          </w:r>
          <w:r>
            <w:instrText xml:space="preserve"> HYPERLINK \l "_bookmark7" </w:instrText>
          </w:r>
          <w:r>
            <w:fldChar w:fldCharType="separate"/>
          </w:r>
          <w:r>
            <w:t>第六章 工程概况及图纸</w:t>
          </w:r>
          <w:r>
            <w:tab/>
          </w:r>
          <w:r>
            <w:t>9</w:t>
          </w:r>
          <w:r>
            <w:fldChar w:fldCharType="end"/>
          </w:r>
          <w:r>
            <w:t>1</w:t>
          </w:r>
        </w:p>
        <w:p>
          <w:pPr>
            <w:pStyle w:val="6"/>
            <w:tabs>
              <w:tab w:val="right" w:leader="dot" w:pos="10179"/>
            </w:tabs>
          </w:pPr>
          <w:r>
            <w:fldChar w:fldCharType="begin"/>
          </w:r>
          <w:r>
            <w:instrText xml:space="preserve"> HYPERLINK \l "_bookmark8" </w:instrText>
          </w:r>
          <w:r>
            <w:fldChar w:fldCharType="separate"/>
          </w:r>
          <w:r>
            <w:t>第三卷</w:t>
          </w:r>
          <w:r>
            <w:tab/>
          </w:r>
          <w:r>
            <w:t>9</w:t>
          </w:r>
          <w:r>
            <w:fldChar w:fldCharType="end"/>
          </w:r>
          <w:r>
            <w:t>2</w:t>
          </w:r>
        </w:p>
        <w:p>
          <w:pPr>
            <w:pStyle w:val="6"/>
            <w:tabs>
              <w:tab w:val="right" w:leader="dot" w:pos="10179"/>
            </w:tabs>
            <w:spacing w:before="161"/>
          </w:pPr>
          <w:r>
            <w:fldChar w:fldCharType="begin"/>
          </w:r>
          <w:r>
            <w:instrText xml:space="preserve"> HYPERLINK \l "_bookmark9" </w:instrText>
          </w:r>
          <w:r>
            <w:fldChar w:fldCharType="separate"/>
          </w:r>
          <w:r>
            <w:t>第七章 技术标准和要求</w:t>
          </w:r>
          <w:r>
            <w:tab/>
          </w:r>
          <w:r>
            <w:t>9</w:t>
          </w:r>
          <w:r>
            <w:fldChar w:fldCharType="end"/>
          </w:r>
          <w:r>
            <w:t>3</w:t>
          </w:r>
        </w:p>
        <w:p>
          <w:pPr>
            <w:pStyle w:val="6"/>
            <w:tabs>
              <w:tab w:val="right" w:leader="dot" w:pos="10179"/>
            </w:tabs>
          </w:pPr>
          <w:r>
            <w:fldChar w:fldCharType="begin"/>
          </w:r>
          <w:r>
            <w:instrText xml:space="preserve"> HYPERLINK \l "_bookmark10" </w:instrText>
          </w:r>
          <w:r>
            <w:fldChar w:fldCharType="separate"/>
          </w:r>
          <w:r>
            <w:t>第四卷</w:t>
          </w:r>
          <w:r>
            <w:tab/>
          </w:r>
          <w:r>
            <w:t>9</w:t>
          </w:r>
          <w:r>
            <w:fldChar w:fldCharType="end"/>
          </w:r>
          <w:r>
            <w:t>4</w:t>
          </w:r>
        </w:p>
        <w:p>
          <w:pPr>
            <w:pStyle w:val="6"/>
            <w:tabs>
              <w:tab w:val="right" w:leader="dot" w:pos="10179"/>
            </w:tabs>
            <w:spacing w:before="160"/>
          </w:pPr>
          <w:r>
            <w:fldChar w:fldCharType="begin"/>
          </w:r>
          <w:r>
            <w:instrText xml:space="preserve"> HYPERLINK \l "_bookmark11" </w:instrText>
          </w:r>
          <w:r>
            <w:fldChar w:fldCharType="separate"/>
          </w:r>
          <w:r>
            <w:t>第八章 工程量清单计量规则</w:t>
          </w:r>
          <w:r>
            <w:tab/>
          </w:r>
          <w:r>
            <w:t>9</w:t>
          </w:r>
          <w:r>
            <w:fldChar w:fldCharType="end"/>
          </w:r>
          <w:r>
            <w:t>5</w:t>
          </w:r>
        </w:p>
        <w:p>
          <w:pPr>
            <w:pStyle w:val="6"/>
            <w:tabs>
              <w:tab w:val="right" w:leader="dot" w:pos="10179"/>
            </w:tabs>
            <w:spacing w:before="161"/>
          </w:pPr>
          <w:r>
            <w:fldChar w:fldCharType="begin"/>
          </w:r>
          <w:r>
            <w:instrText xml:space="preserve"> HYPERLINK \l "_bookmark12" </w:instrText>
          </w:r>
          <w:r>
            <w:fldChar w:fldCharType="separate"/>
          </w:r>
          <w:r>
            <w:t>第九章 投标文件格式</w:t>
          </w:r>
          <w:r>
            <w:tab/>
          </w:r>
          <w:r>
            <w:t>9</w:t>
          </w:r>
          <w:r>
            <w:fldChar w:fldCharType="end"/>
          </w:r>
          <w:r>
            <w:t>7</w:t>
          </w:r>
        </w:p>
      </w:sdtContent>
    </w:sdt>
    <w:p>
      <w:pPr>
        <w:spacing w:after="0"/>
        <w:sectPr>
          <w:headerReference r:id="rId6" w:type="default"/>
          <w:footerReference r:id="rId7" w:type="default"/>
          <w:pgSz w:w="11910" w:h="16840"/>
          <w:pgMar w:top="1380" w:right="720" w:bottom="1080" w:left="820" w:header="746" w:footer="891" w:gutter="0"/>
          <w:pgNumType w:start="1"/>
          <w:cols w:space="720" w:num="1"/>
        </w:sect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ind w:left="0"/>
        <w:rPr>
          <w:sz w:val="28"/>
        </w:rPr>
      </w:pPr>
    </w:p>
    <w:p>
      <w:pPr>
        <w:pStyle w:val="5"/>
        <w:spacing w:before="2"/>
        <w:ind w:left="0"/>
        <w:rPr>
          <w:sz w:val="22"/>
        </w:rPr>
      </w:pPr>
    </w:p>
    <w:p>
      <w:pPr>
        <w:pStyle w:val="2"/>
        <w:tabs>
          <w:tab w:val="left" w:pos="561"/>
          <w:tab w:val="left" w:pos="1123"/>
        </w:tabs>
        <w:spacing w:before="0"/>
        <w:ind w:left="0" w:right="98"/>
      </w:pPr>
      <w:bookmarkStart w:id="0" w:name="第  一  卷"/>
      <w:bookmarkEnd w:id="0"/>
      <w:bookmarkStart w:id="1" w:name="_bookmark0"/>
      <w:bookmarkEnd w:id="1"/>
      <w:r>
        <w:t>第</w:t>
      </w:r>
      <w:r>
        <w:tab/>
      </w:r>
      <w:r>
        <w:t>一</w:t>
      </w:r>
      <w:r>
        <w:tab/>
      </w:r>
      <w:r>
        <w:t>卷</w:t>
      </w:r>
    </w:p>
    <w:p>
      <w:pPr>
        <w:spacing w:after="0"/>
        <w:sectPr>
          <w:pgSz w:w="11910" w:h="16840"/>
          <w:pgMar w:top="1380" w:right="720" w:bottom="1080" w:left="820" w:header="746" w:footer="891" w:gutter="0"/>
          <w:cols w:space="720" w:num="1"/>
        </w:sectPr>
      </w:pPr>
    </w:p>
    <w:p>
      <w:pPr>
        <w:pStyle w:val="2"/>
        <w:spacing w:before="117"/>
      </w:pPr>
      <w:r>
        <w:t>第一章 招标公告</w:t>
      </w:r>
    </w:p>
    <w:p>
      <w:pPr>
        <w:pStyle w:val="5"/>
        <w:spacing w:before="2"/>
        <w:ind w:left="0"/>
        <w:rPr>
          <w:b/>
          <w:sz w:val="15"/>
        </w:rPr>
      </w:pPr>
    </w:p>
    <w:p>
      <w:pPr>
        <w:spacing w:before="55" w:line="242" w:lineRule="auto"/>
        <w:ind w:left="2482" w:right="2583" w:firstLine="0"/>
        <w:jc w:val="center"/>
        <w:rPr>
          <w:b/>
          <w:sz w:val="32"/>
        </w:rPr>
      </w:pPr>
      <w:bookmarkStart w:id="2" w:name="_bookmark2"/>
      <w:bookmarkEnd w:id="2"/>
      <w:r>
        <w:rPr>
          <w:b/>
          <w:spacing w:val="-22"/>
          <w:sz w:val="32"/>
        </w:rPr>
        <w:t xml:space="preserve">商城县 </w:t>
      </w:r>
      <w:r>
        <w:rPr>
          <w:b/>
          <w:sz w:val="32"/>
        </w:rPr>
        <w:t>2022</w:t>
      </w:r>
      <w:r>
        <w:rPr>
          <w:b/>
          <w:spacing w:val="-10"/>
          <w:sz w:val="32"/>
        </w:rPr>
        <w:t xml:space="preserve"> 年农村公路路网改善工程招标公告</w:t>
      </w:r>
    </w:p>
    <w:p>
      <w:pPr>
        <w:spacing w:before="0" w:line="268" w:lineRule="exact"/>
        <w:ind w:left="263" w:right="360" w:firstLine="0"/>
        <w:jc w:val="center"/>
        <w:rPr>
          <w:sz w:val="21"/>
        </w:rPr>
      </w:pPr>
      <w:r>
        <w:rPr>
          <w:sz w:val="21"/>
        </w:rPr>
        <w:t>招标编号：sczb2022081</w:t>
      </w:r>
    </w:p>
    <w:p>
      <w:pPr>
        <w:pStyle w:val="4"/>
        <w:spacing w:before="140"/>
        <w:ind w:left="0" w:right="7838"/>
        <w:jc w:val="center"/>
      </w:pPr>
      <w:r>
        <w:t>一、招标条件</w:t>
      </w:r>
    </w:p>
    <w:p>
      <w:pPr>
        <w:pStyle w:val="5"/>
        <w:spacing w:before="158" w:line="364" w:lineRule="auto"/>
        <w:ind w:right="519" w:firstLine="480"/>
      </w:pPr>
      <w:r>
        <w:rPr>
          <w:spacing w:val="-7"/>
        </w:rPr>
        <w:t xml:space="preserve">本招标项目商城县 </w:t>
      </w:r>
      <w:r>
        <w:t>2022</w:t>
      </w:r>
      <w:r>
        <w:rPr>
          <w:spacing w:val="-15"/>
        </w:rPr>
        <w:t xml:space="preserve"> 年农村公路路网改善工程按豫交文【</w:t>
      </w:r>
      <w:r>
        <w:t>2022</w:t>
      </w:r>
      <w:r>
        <w:rPr>
          <w:spacing w:val="-118"/>
        </w:rPr>
        <w:t>】</w:t>
      </w:r>
      <w:r>
        <w:t>47</w:t>
      </w:r>
      <w:r>
        <w:rPr>
          <w:spacing w:val="-10"/>
        </w:rPr>
        <w:t xml:space="preserve"> 号文批准建设， </w:t>
      </w:r>
      <w:r>
        <w:t>招标人为商城县交通运输局，招标代理机构为中恒工程咨询有限公司，建设资金为上级</w:t>
      </w:r>
      <w:r>
        <w:rPr>
          <w:spacing w:val="-5"/>
        </w:rPr>
        <w:t>补助及县财政配套。项目已具备招标条件,现对该项目进行公开招标，欢迎符合相关条件的单位参加投标。</w:t>
      </w:r>
    </w:p>
    <w:p>
      <w:pPr>
        <w:pStyle w:val="4"/>
      </w:pPr>
      <w:r>
        <w:t>二、项目概况与招标范围</w:t>
      </w:r>
    </w:p>
    <w:p>
      <w:pPr>
        <w:pStyle w:val="5"/>
        <w:spacing w:before="158"/>
        <w:ind w:left="1020"/>
      </w:pPr>
      <w:r>
        <w:t>1、工程名称：商城县 2022 年农村公路路网改善工程；</w:t>
      </w:r>
    </w:p>
    <w:p>
      <w:pPr>
        <w:pStyle w:val="5"/>
        <w:spacing w:before="160"/>
        <w:ind w:left="1020"/>
      </w:pPr>
      <w:r>
        <w:t>2、招标编号：sczb2022081</w:t>
      </w:r>
    </w:p>
    <w:p>
      <w:pPr>
        <w:pStyle w:val="5"/>
        <w:spacing w:before="158"/>
        <w:ind w:left="1020"/>
      </w:pPr>
      <w:r>
        <w:t>3、工程地址：商城县境内；</w:t>
      </w:r>
    </w:p>
    <w:p>
      <w:pPr>
        <w:pStyle w:val="5"/>
        <w:spacing w:before="159" w:line="364" w:lineRule="auto"/>
        <w:ind w:right="639" w:firstLine="480"/>
      </w:pPr>
      <w:r>
        <w:t>4、招标范围：施工图纸所含全部内容及缺陷责任期的工程施工,具体工程量以招标工程量清单为准；</w:t>
      </w:r>
    </w:p>
    <w:p>
      <w:pPr>
        <w:pStyle w:val="5"/>
        <w:spacing w:before="1"/>
        <w:ind w:left="1020"/>
      </w:pPr>
      <w:r>
        <w:t xml:space="preserve">5、标段划分：共分为 </w:t>
      </w:r>
      <w:r>
        <w:rPr>
          <w:u w:val="single"/>
        </w:rPr>
        <w:t>2</w:t>
      </w:r>
      <w:r>
        <w:t xml:space="preserve"> 个合同段，具体情况详见下表：</w:t>
      </w:r>
    </w:p>
    <w:p>
      <w:pPr>
        <w:pStyle w:val="5"/>
        <w:spacing w:before="3"/>
        <w:ind w:left="0"/>
        <w:rPr>
          <w:sz w:val="12"/>
        </w:rPr>
      </w:pPr>
    </w:p>
    <w:tbl>
      <w:tblPr>
        <w:tblStyle w:val="7"/>
        <w:tblW w:w="0" w:type="auto"/>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9"/>
        <w:gridCol w:w="3330"/>
        <w:gridCol w:w="3007"/>
        <w:gridCol w:w="10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99" w:type="dxa"/>
          </w:tcPr>
          <w:p>
            <w:pPr>
              <w:pStyle w:val="11"/>
              <w:spacing w:line="253" w:lineRule="exact"/>
              <w:ind w:left="274" w:right="270"/>
              <w:jc w:val="center"/>
              <w:rPr>
                <w:b/>
                <w:sz w:val="21"/>
              </w:rPr>
            </w:pPr>
            <w:r>
              <w:rPr>
                <w:b/>
                <w:sz w:val="21"/>
              </w:rPr>
              <w:t>合同段划分</w:t>
            </w:r>
          </w:p>
        </w:tc>
        <w:tc>
          <w:tcPr>
            <w:tcW w:w="3330" w:type="dxa"/>
          </w:tcPr>
          <w:p>
            <w:pPr>
              <w:pStyle w:val="11"/>
              <w:spacing w:line="253" w:lineRule="exact"/>
              <w:ind w:left="1221" w:right="1215"/>
              <w:jc w:val="center"/>
              <w:rPr>
                <w:b/>
                <w:sz w:val="21"/>
              </w:rPr>
            </w:pPr>
            <w:r>
              <w:rPr>
                <w:b/>
                <w:sz w:val="21"/>
              </w:rPr>
              <w:t>工程名称</w:t>
            </w:r>
          </w:p>
        </w:tc>
        <w:tc>
          <w:tcPr>
            <w:tcW w:w="3007" w:type="dxa"/>
          </w:tcPr>
          <w:p>
            <w:pPr>
              <w:pStyle w:val="11"/>
              <w:spacing w:line="253" w:lineRule="exact"/>
              <w:ind w:left="1061" w:right="1052"/>
              <w:jc w:val="center"/>
              <w:rPr>
                <w:b/>
                <w:sz w:val="21"/>
              </w:rPr>
            </w:pPr>
            <w:r>
              <w:rPr>
                <w:b/>
                <w:sz w:val="21"/>
              </w:rPr>
              <w:t>建设规模</w:t>
            </w:r>
          </w:p>
        </w:tc>
        <w:tc>
          <w:tcPr>
            <w:tcW w:w="1077" w:type="dxa"/>
          </w:tcPr>
          <w:p>
            <w:pPr>
              <w:pStyle w:val="11"/>
              <w:spacing w:line="253" w:lineRule="exact"/>
              <w:ind w:left="17" w:right="7"/>
              <w:jc w:val="center"/>
              <w:rPr>
                <w:b/>
                <w:sz w:val="21"/>
              </w:rPr>
            </w:pPr>
            <w:r>
              <w:rPr>
                <w:b/>
                <w:sz w:val="21"/>
              </w:rPr>
              <w:t>计划工期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99" w:type="dxa"/>
          </w:tcPr>
          <w:p>
            <w:pPr>
              <w:pStyle w:val="11"/>
              <w:spacing w:before="3"/>
              <w:rPr>
                <w:sz w:val="20"/>
              </w:rPr>
            </w:pPr>
          </w:p>
          <w:p>
            <w:pPr>
              <w:pStyle w:val="11"/>
              <w:ind w:left="278" w:right="270"/>
              <w:jc w:val="center"/>
              <w:rPr>
                <w:sz w:val="20"/>
              </w:rPr>
            </w:pPr>
            <w:r>
              <w:rPr>
                <w:sz w:val="20"/>
              </w:rPr>
              <w:t>SCLWGC-2022-01</w:t>
            </w:r>
          </w:p>
        </w:tc>
        <w:tc>
          <w:tcPr>
            <w:tcW w:w="3330" w:type="dxa"/>
          </w:tcPr>
          <w:p>
            <w:pPr>
              <w:pStyle w:val="11"/>
              <w:spacing w:before="130" w:line="242" w:lineRule="auto"/>
              <w:ind w:left="1265" w:right="103" w:hanging="1152"/>
              <w:rPr>
                <w:sz w:val="20"/>
              </w:rPr>
            </w:pPr>
            <w:r>
              <w:rPr>
                <w:spacing w:val="-14"/>
                <w:sz w:val="20"/>
              </w:rPr>
              <w:t xml:space="preserve">商城县 </w:t>
            </w:r>
            <w:r>
              <w:rPr>
                <w:sz w:val="20"/>
              </w:rPr>
              <w:t>S205</w:t>
            </w:r>
            <w:r>
              <w:rPr>
                <w:spacing w:val="-8"/>
                <w:sz w:val="20"/>
              </w:rPr>
              <w:t xml:space="preserve"> 线上石桥至商固界公路改建工程</w:t>
            </w:r>
          </w:p>
        </w:tc>
        <w:tc>
          <w:tcPr>
            <w:tcW w:w="3007" w:type="dxa"/>
          </w:tcPr>
          <w:p>
            <w:pPr>
              <w:pStyle w:val="11"/>
              <w:ind w:left="107"/>
              <w:rPr>
                <w:sz w:val="20"/>
              </w:rPr>
            </w:pPr>
            <w:r>
              <w:rPr>
                <w:spacing w:val="-19"/>
                <w:sz w:val="20"/>
              </w:rPr>
              <w:t xml:space="preserve">全长 </w:t>
            </w:r>
            <w:r>
              <w:rPr>
                <w:sz w:val="20"/>
              </w:rPr>
              <w:t>8.217</w:t>
            </w:r>
            <w:r>
              <w:rPr>
                <w:spacing w:val="-8"/>
                <w:sz w:val="20"/>
              </w:rPr>
              <w:t xml:space="preserve"> 公里，二级公路，路</w:t>
            </w:r>
          </w:p>
          <w:p>
            <w:pPr>
              <w:pStyle w:val="11"/>
              <w:spacing w:before="3"/>
              <w:ind w:left="107"/>
              <w:rPr>
                <w:sz w:val="20"/>
              </w:rPr>
            </w:pPr>
            <w:r>
              <w:rPr>
                <w:spacing w:val="-18"/>
                <w:sz w:val="20"/>
              </w:rPr>
              <w:t xml:space="preserve">基宽 </w:t>
            </w:r>
            <w:r>
              <w:rPr>
                <w:sz w:val="20"/>
              </w:rPr>
              <w:t>8.5</w:t>
            </w:r>
            <w:r>
              <w:rPr>
                <w:spacing w:val="-9"/>
                <w:sz w:val="20"/>
              </w:rPr>
              <w:t xml:space="preserve"> 米，沥青混凝土路面宽</w:t>
            </w:r>
          </w:p>
          <w:p>
            <w:pPr>
              <w:pStyle w:val="11"/>
              <w:spacing w:before="3" w:line="239" w:lineRule="exact"/>
              <w:ind w:left="1228"/>
              <w:rPr>
                <w:sz w:val="20"/>
              </w:rPr>
            </w:pPr>
            <w:r>
              <w:rPr>
                <w:sz w:val="20"/>
              </w:rPr>
              <w:t>7.5 米</w:t>
            </w:r>
          </w:p>
        </w:tc>
        <w:tc>
          <w:tcPr>
            <w:tcW w:w="1077" w:type="dxa"/>
          </w:tcPr>
          <w:p>
            <w:pPr>
              <w:pStyle w:val="11"/>
              <w:spacing w:before="3"/>
              <w:rPr>
                <w:sz w:val="20"/>
              </w:rPr>
            </w:pPr>
          </w:p>
          <w:p>
            <w:pPr>
              <w:pStyle w:val="11"/>
              <w:ind w:left="17" w:right="10"/>
              <w:jc w:val="center"/>
              <w:rPr>
                <w:sz w:val="20"/>
              </w:rPr>
            </w:pPr>
            <w:r>
              <w:rPr>
                <w:sz w:val="20"/>
              </w:rPr>
              <w:t>210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99" w:type="dxa"/>
          </w:tcPr>
          <w:p>
            <w:pPr>
              <w:pStyle w:val="11"/>
              <w:spacing w:before="2"/>
              <w:rPr>
                <w:sz w:val="20"/>
              </w:rPr>
            </w:pPr>
          </w:p>
          <w:p>
            <w:pPr>
              <w:pStyle w:val="11"/>
              <w:ind w:left="278" w:right="270"/>
              <w:jc w:val="center"/>
              <w:rPr>
                <w:sz w:val="20"/>
              </w:rPr>
            </w:pPr>
            <w:r>
              <w:rPr>
                <w:sz w:val="20"/>
              </w:rPr>
              <w:t>SCLWGC-2022-02</w:t>
            </w:r>
          </w:p>
        </w:tc>
        <w:tc>
          <w:tcPr>
            <w:tcW w:w="3330" w:type="dxa"/>
          </w:tcPr>
          <w:p>
            <w:pPr>
              <w:pStyle w:val="11"/>
              <w:spacing w:before="129" w:line="242" w:lineRule="auto"/>
              <w:ind w:left="1464" w:right="103" w:hanging="1352"/>
              <w:rPr>
                <w:sz w:val="20"/>
              </w:rPr>
            </w:pPr>
            <w:r>
              <w:rPr>
                <w:spacing w:val="-14"/>
                <w:sz w:val="20"/>
              </w:rPr>
              <w:t xml:space="preserve">商城县 </w:t>
            </w:r>
            <w:r>
              <w:rPr>
                <w:sz w:val="20"/>
              </w:rPr>
              <w:t>X005</w:t>
            </w:r>
            <w:r>
              <w:rPr>
                <w:spacing w:val="-8"/>
                <w:sz w:val="20"/>
              </w:rPr>
              <w:t xml:space="preserve"> 观庙镇至双轮河段改建工程</w:t>
            </w:r>
          </w:p>
        </w:tc>
        <w:tc>
          <w:tcPr>
            <w:tcW w:w="3007" w:type="dxa"/>
          </w:tcPr>
          <w:p>
            <w:pPr>
              <w:pStyle w:val="11"/>
              <w:spacing w:before="2"/>
              <w:ind w:left="107"/>
              <w:rPr>
                <w:sz w:val="20"/>
              </w:rPr>
            </w:pPr>
            <w:r>
              <w:rPr>
                <w:spacing w:val="-19"/>
                <w:sz w:val="20"/>
              </w:rPr>
              <w:t xml:space="preserve">全长 </w:t>
            </w:r>
            <w:r>
              <w:rPr>
                <w:sz w:val="20"/>
              </w:rPr>
              <w:t>6.112</w:t>
            </w:r>
            <w:r>
              <w:rPr>
                <w:spacing w:val="-8"/>
                <w:sz w:val="20"/>
              </w:rPr>
              <w:t xml:space="preserve"> 公里，二级公路，路</w:t>
            </w:r>
          </w:p>
          <w:p>
            <w:pPr>
              <w:pStyle w:val="11"/>
              <w:ind w:left="107"/>
              <w:rPr>
                <w:sz w:val="20"/>
              </w:rPr>
            </w:pPr>
            <w:r>
              <w:rPr>
                <w:spacing w:val="-18"/>
                <w:sz w:val="20"/>
              </w:rPr>
              <w:t xml:space="preserve">基宽 </w:t>
            </w:r>
            <w:r>
              <w:rPr>
                <w:sz w:val="20"/>
              </w:rPr>
              <w:t>8.5</w:t>
            </w:r>
            <w:r>
              <w:rPr>
                <w:spacing w:val="-9"/>
                <w:sz w:val="20"/>
              </w:rPr>
              <w:t xml:space="preserve"> 米，水泥混凝土路面宽</w:t>
            </w:r>
          </w:p>
          <w:p>
            <w:pPr>
              <w:pStyle w:val="11"/>
              <w:spacing w:before="3" w:line="240" w:lineRule="exact"/>
              <w:ind w:left="1228"/>
              <w:rPr>
                <w:sz w:val="20"/>
              </w:rPr>
            </w:pPr>
            <w:r>
              <w:rPr>
                <w:sz w:val="20"/>
              </w:rPr>
              <w:t>7.5 米</w:t>
            </w:r>
          </w:p>
        </w:tc>
        <w:tc>
          <w:tcPr>
            <w:tcW w:w="1077" w:type="dxa"/>
          </w:tcPr>
          <w:p>
            <w:pPr>
              <w:pStyle w:val="11"/>
              <w:spacing w:before="2"/>
              <w:rPr>
                <w:sz w:val="20"/>
              </w:rPr>
            </w:pPr>
          </w:p>
          <w:p>
            <w:pPr>
              <w:pStyle w:val="11"/>
              <w:ind w:left="17" w:right="10"/>
              <w:jc w:val="center"/>
              <w:rPr>
                <w:sz w:val="20"/>
              </w:rPr>
            </w:pPr>
            <w:r>
              <w:rPr>
                <w:sz w:val="20"/>
              </w:rPr>
              <w:t>270 日历天</w:t>
            </w:r>
          </w:p>
        </w:tc>
      </w:tr>
    </w:tbl>
    <w:p>
      <w:pPr>
        <w:pStyle w:val="5"/>
        <w:spacing w:before="2"/>
        <w:ind w:left="1020"/>
      </w:pPr>
      <w:r>
        <w:t>6、资金来源：上级补助及县财政配套；</w:t>
      </w:r>
    </w:p>
    <w:p>
      <w:pPr>
        <w:spacing w:before="158" w:line="364" w:lineRule="auto"/>
        <w:ind w:left="540" w:right="7304" w:firstLine="480"/>
        <w:jc w:val="left"/>
        <w:rPr>
          <w:b/>
          <w:sz w:val="24"/>
        </w:rPr>
      </w:pPr>
      <w:r>
        <w:rPr>
          <w:sz w:val="24"/>
        </w:rPr>
        <w:t>7、质量要求：合格</w:t>
      </w:r>
      <w:r>
        <w:rPr>
          <w:b/>
          <w:sz w:val="24"/>
        </w:rPr>
        <w:t>三、投标人资格要求</w:t>
      </w:r>
    </w:p>
    <w:p>
      <w:pPr>
        <w:pStyle w:val="5"/>
        <w:spacing w:line="364" w:lineRule="auto"/>
        <w:ind w:right="639" w:firstLine="480"/>
      </w:pPr>
      <w:r>
        <w:t>1</w:t>
      </w:r>
      <w:r>
        <w:rPr>
          <w:spacing w:val="-9"/>
        </w:rPr>
        <w:t>、资质要求：具有独立企业法人资格，持有有效的营业执照；有效的安全生产许可</w:t>
      </w:r>
      <w:r>
        <w:t>证；具有有效的建设行政主管部门核发的公路工程施工总承包贰级及以上资质。</w:t>
      </w:r>
    </w:p>
    <w:p>
      <w:pPr>
        <w:pStyle w:val="5"/>
        <w:spacing w:line="364" w:lineRule="auto"/>
        <w:ind w:right="639" w:firstLine="480"/>
        <w:jc w:val="both"/>
      </w:pPr>
      <w:r>
        <w:t>2</w:t>
      </w:r>
      <w:r>
        <w:rPr>
          <w:spacing w:val="-10"/>
        </w:rPr>
        <w:t>、项目管理人员要求：项目经理及项目经理备选人须具有公路工程专业贰级及以上</w:t>
      </w:r>
      <w:r>
        <w:t>注册建造师资格证书，具备公路相关专业中级及以上职称证书，具有建设行政主管部门</w:t>
      </w:r>
      <w:r>
        <w:rPr>
          <w:spacing w:val="-10"/>
        </w:rPr>
        <w:t xml:space="preserve">颁发的 </w:t>
      </w:r>
      <w:r>
        <w:t>B</w:t>
      </w:r>
      <w:r>
        <w:rPr>
          <w:spacing w:val="-6"/>
        </w:rPr>
        <w:t xml:space="preserve"> 类安全生产考核合格证，且未担任其它在建建设工程项目</w:t>
      </w:r>
      <w:r>
        <w:t>（出具承诺书）；项目总工程师及项目总工程师备选人具有有效的职称证书；拟派项目经理、项目经理备选人、项目总工程师、项目总工程师备选人须为本单位职工（</w:t>
      </w:r>
      <w:r>
        <w:rPr>
          <w:spacing w:val="-7"/>
        </w:rPr>
        <w:t xml:space="preserve">提供劳动合同及自 </w:t>
      </w:r>
      <w:r>
        <w:t>2021</w:t>
      </w:r>
      <w:r>
        <w:rPr>
          <w:spacing w:val="-40"/>
        </w:rPr>
        <w:t xml:space="preserve"> 年 </w:t>
      </w:r>
      <w:r>
        <w:rPr>
          <w:spacing w:val="-12"/>
        </w:rPr>
        <w:t>6</w:t>
      </w:r>
    </w:p>
    <w:p>
      <w:pPr>
        <w:spacing w:after="0" w:line="364" w:lineRule="auto"/>
        <w:jc w:val="both"/>
        <w:sectPr>
          <w:pgSz w:w="11910" w:h="16840"/>
          <w:pgMar w:top="1380" w:right="720" w:bottom="1080" w:left="820" w:header="746" w:footer="891" w:gutter="0"/>
          <w:cols w:space="720" w:num="1"/>
        </w:sectPr>
      </w:pPr>
    </w:p>
    <w:p>
      <w:pPr>
        <w:pStyle w:val="5"/>
        <w:spacing w:before="61"/>
        <w:jc w:val="both"/>
      </w:pPr>
      <w:r>
        <w:t>月 1 日以来连续六个月本单位缴纳的社保证明材料）。</w:t>
      </w:r>
    </w:p>
    <w:p>
      <w:pPr>
        <w:pStyle w:val="5"/>
        <w:spacing w:before="160" w:line="364" w:lineRule="auto"/>
        <w:ind w:right="639" w:firstLine="480"/>
        <w:jc w:val="both"/>
      </w:pPr>
      <w:r>
        <w:t>3</w:t>
      </w:r>
      <w:r>
        <w:rPr>
          <w:spacing w:val="-7"/>
        </w:rPr>
        <w:t xml:space="preserve">、业绩要求：自 </w:t>
      </w:r>
      <w:r>
        <w:t>2019</w:t>
      </w:r>
      <w:r>
        <w:rPr>
          <w:spacing w:val="-37"/>
        </w:rPr>
        <w:t xml:space="preserve"> 年 </w:t>
      </w:r>
      <w:r>
        <w:t>6</w:t>
      </w:r>
      <w:r>
        <w:rPr>
          <w:spacing w:val="-35"/>
        </w:rPr>
        <w:t xml:space="preserve"> 月 </w:t>
      </w:r>
      <w:r>
        <w:t>1</w:t>
      </w:r>
      <w:r>
        <w:rPr>
          <w:spacing w:val="-9"/>
        </w:rPr>
        <w:t xml:space="preserve"> 日以来的合同金额不低于标段招标控制价金额 </w:t>
      </w:r>
      <w:r>
        <w:t>80% 的类似项目业绩一份（以合同签订时间为准，提供中标通知书、国家指定媒介的中标公示截图、合同协议书）。</w:t>
      </w:r>
    </w:p>
    <w:p>
      <w:pPr>
        <w:pStyle w:val="5"/>
        <w:spacing w:line="364" w:lineRule="auto"/>
        <w:ind w:right="519" w:firstLine="480"/>
      </w:pPr>
      <w:r>
        <w:t xml:space="preserve">4、财务要求：近三年财务状况良好，没有财产被接管、冻结或处于亏损破产状况， </w:t>
      </w:r>
      <w:r>
        <w:rPr>
          <w:spacing w:val="-15"/>
        </w:rPr>
        <w:t xml:space="preserve">须提供 </w:t>
      </w:r>
      <w:r>
        <w:t>2019</w:t>
      </w:r>
      <w:r>
        <w:rPr>
          <w:spacing w:val="-60"/>
        </w:rPr>
        <w:t>、</w:t>
      </w:r>
      <w:r>
        <w:t>2020</w:t>
      </w:r>
      <w:r>
        <w:rPr>
          <w:spacing w:val="-58"/>
        </w:rPr>
        <w:t>、</w:t>
      </w:r>
      <w:r>
        <w:t>2021</w:t>
      </w:r>
      <w:r>
        <w:rPr>
          <w:spacing w:val="-12"/>
        </w:rPr>
        <w:t xml:space="preserve"> 年度经审计的财务报表为准</w:t>
      </w:r>
      <w:r>
        <w:t>（</w:t>
      </w:r>
      <w:r>
        <w:rPr>
          <w:spacing w:val="-2"/>
        </w:rPr>
        <w:t xml:space="preserve">对于成立时间不足三年的投标人， </w:t>
      </w:r>
      <w:r>
        <w:t>以成立时间为准</w:t>
      </w:r>
      <w:r>
        <w:rPr>
          <w:spacing w:val="-29"/>
        </w:rPr>
        <w:t>）</w:t>
      </w:r>
      <w:r>
        <w:rPr>
          <w:spacing w:val="-19"/>
        </w:rPr>
        <w:t xml:space="preserve">、单位自 </w:t>
      </w:r>
      <w:r>
        <w:t>2021</w:t>
      </w:r>
      <w:r>
        <w:rPr>
          <w:spacing w:val="-40"/>
        </w:rPr>
        <w:t xml:space="preserve"> 年 </w:t>
      </w:r>
      <w:r>
        <w:t>7</w:t>
      </w:r>
      <w:r>
        <w:rPr>
          <w:spacing w:val="-40"/>
        </w:rPr>
        <w:t xml:space="preserve"> 月 </w:t>
      </w:r>
      <w:r>
        <w:t>1</w:t>
      </w:r>
      <w:r>
        <w:rPr>
          <w:spacing w:val="-8"/>
        </w:rPr>
        <w:t xml:space="preserve"> 日以来连续六个月的缴纳税收和社会保障金的证明材料。</w:t>
      </w:r>
    </w:p>
    <w:p>
      <w:pPr>
        <w:pStyle w:val="5"/>
        <w:ind w:left="1020"/>
      </w:pPr>
      <w:r>
        <w:t>5、信誉要求：</w:t>
      </w:r>
    </w:p>
    <w:p>
      <w:pPr>
        <w:pStyle w:val="10"/>
        <w:numPr>
          <w:ilvl w:val="1"/>
          <w:numId w:val="1"/>
        </w:numPr>
        <w:tabs>
          <w:tab w:val="left" w:pos="1441"/>
        </w:tabs>
        <w:spacing w:before="155" w:after="0" w:line="364" w:lineRule="auto"/>
        <w:ind w:left="540" w:right="639" w:firstLine="480"/>
        <w:jc w:val="both"/>
        <w:rPr>
          <w:sz w:val="24"/>
        </w:rPr>
      </w:pPr>
      <w:r>
        <w:rPr>
          <w:spacing w:val="-11"/>
          <w:sz w:val="24"/>
        </w:rPr>
        <w:t>须提供通过“信用中国”网站</w:t>
      </w:r>
      <w:r>
        <w:fldChar w:fldCharType="begin"/>
      </w:r>
      <w:r>
        <w:instrText xml:space="preserve"> HYPERLINK "http://www.creditchina.gov.cn/" \h </w:instrText>
      </w:r>
      <w:r>
        <w:fldChar w:fldCharType="separate"/>
      </w:r>
      <w:r>
        <w:rPr>
          <w:spacing w:val="-1"/>
          <w:sz w:val="24"/>
        </w:rPr>
        <w:t>（www.creditchina.gov.cn</w:t>
      </w:r>
      <w:r>
        <w:rPr>
          <w:spacing w:val="-1"/>
          <w:sz w:val="24"/>
        </w:rPr>
        <w:fldChar w:fldCharType="end"/>
      </w:r>
      <w:r>
        <w:rPr>
          <w:spacing w:val="-1"/>
          <w:sz w:val="24"/>
        </w:rPr>
        <w:t>）</w:t>
      </w:r>
      <w:r>
        <w:rPr>
          <w:spacing w:val="-2"/>
          <w:sz w:val="24"/>
        </w:rPr>
        <w:t>查询企业信用记录的</w:t>
      </w:r>
      <w:r>
        <w:rPr>
          <w:sz w:val="24"/>
        </w:rPr>
        <w:t>彩色网页截图，列入失信被执行人、重大税收违法案件当事人名单、政府采购严重违法失信行为记录名单的投标单位，不得参与本次招标活动；</w:t>
      </w:r>
    </w:p>
    <w:p>
      <w:pPr>
        <w:pStyle w:val="10"/>
        <w:numPr>
          <w:ilvl w:val="1"/>
          <w:numId w:val="1"/>
        </w:numPr>
        <w:tabs>
          <w:tab w:val="left" w:pos="1441"/>
        </w:tabs>
        <w:spacing w:before="0" w:after="0" w:line="364" w:lineRule="auto"/>
        <w:ind w:left="540" w:right="639" w:firstLine="480"/>
        <w:jc w:val="both"/>
        <w:rPr>
          <w:sz w:val="24"/>
        </w:rPr>
      </w:pPr>
      <w:r>
        <w:rPr>
          <w:spacing w:val="-9"/>
          <w:sz w:val="24"/>
        </w:rPr>
        <w:t>须提供“中国执行信息公开网</w:t>
      </w:r>
      <w:r>
        <w:fldChar w:fldCharType="begin"/>
      </w:r>
      <w:r>
        <w:instrText xml:space="preserve"> HYPERLINK "http://zxgk.court.gov.cn/shixin/" \h </w:instrText>
      </w:r>
      <w:r>
        <w:fldChar w:fldCharType="separate"/>
      </w:r>
      <w:r>
        <w:rPr>
          <w:spacing w:val="-1"/>
          <w:sz w:val="24"/>
        </w:rPr>
        <w:t>（http://zxgk.court.gov.cn/shixin/</w:t>
      </w:r>
      <w:r>
        <w:rPr>
          <w:spacing w:val="-1"/>
          <w:sz w:val="24"/>
        </w:rPr>
        <w:fldChar w:fldCharType="end"/>
      </w:r>
      <w:r>
        <w:rPr>
          <w:spacing w:val="-1"/>
          <w:sz w:val="24"/>
        </w:rPr>
        <w:t>）”</w:t>
      </w:r>
      <w:r>
        <w:rPr>
          <w:spacing w:val="-6"/>
          <w:sz w:val="24"/>
        </w:rPr>
        <w:t>查询记</w:t>
      </w:r>
      <w:r>
        <w:rPr>
          <w:sz w:val="24"/>
        </w:rPr>
        <w:t>录的彩色网页截图（查询对象：企业、法定代表人、项目经理及备选项目经理、项目总工程师及项目总工程师备选人、授权委托人）。凡被列入的，依法限制其参与投标和工程建设。</w:t>
      </w:r>
    </w:p>
    <w:p>
      <w:pPr>
        <w:pStyle w:val="10"/>
        <w:numPr>
          <w:ilvl w:val="1"/>
          <w:numId w:val="1"/>
        </w:numPr>
        <w:tabs>
          <w:tab w:val="left" w:pos="1460"/>
        </w:tabs>
        <w:spacing w:before="0" w:after="0" w:line="305" w:lineRule="exact"/>
        <w:ind w:left="1460" w:right="0" w:hanging="440"/>
        <w:jc w:val="both"/>
        <w:rPr>
          <w:sz w:val="24"/>
        </w:rPr>
      </w:pPr>
      <w:r>
        <w:rPr>
          <w:spacing w:val="18"/>
          <w:sz w:val="24"/>
        </w:rPr>
        <w:t>投标人应进入交通运输部“全国公路建设市场信用信息管理系统</w:t>
      </w:r>
      <w:r>
        <w:rPr>
          <w:sz w:val="24"/>
        </w:rPr>
        <w:t>（</w:t>
      </w:r>
      <w:r>
        <w:rPr>
          <w:spacing w:val="-99"/>
          <w:sz w:val="24"/>
        </w:rPr>
        <w:t xml:space="preserve"> </w:t>
      </w:r>
      <w:r>
        <w:rPr>
          <w:spacing w:val="3"/>
          <w:sz w:val="24"/>
        </w:rPr>
        <w:t>http：</w:t>
      </w:r>
    </w:p>
    <w:p>
      <w:pPr>
        <w:pStyle w:val="5"/>
        <w:spacing w:before="158" w:line="364" w:lineRule="auto"/>
        <w:ind w:right="574"/>
      </w:pPr>
      <w:r>
        <w:t>//glxy.mot.gov.cn）”中的公路工程施工资质企业名录，且申请人名称和资质与该名录中的相应企业名称和资质完全一致。申请人不满足本项规定条件的，投标被否决。</w:t>
      </w:r>
    </w:p>
    <w:p>
      <w:pPr>
        <w:pStyle w:val="10"/>
        <w:numPr>
          <w:ilvl w:val="1"/>
          <w:numId w:val="1"/>
        </w:numPr>
        <w:tabs>
          <w:tab w:val="left" w:pos="1441"/>
        </w:tabs>
        <w:spacing w:before="0" w:after="0" w:line="364" w:lineRule="auto"/>
        <w:ind w:left="540" w:right="639" w:firstLine="480"/>
        <w:jc w:val="both"/>
        <w:rPr>
          <w:sz w:val="24"/>
        </w:rPr>
      </w:pPr>
      <w:r>
        <w:rPr>
          <w:spacing w:val="-12"/>
          <w:sz w:val="24"/>
        </w:rPr>
        <w:t>根据《河南省公路建设市场从业单位及人员信用管理办法》精神，本次招标不接</w:t>
      </w:r>
      <w:r>
        <w:rPr>
          <w:spacing w:val="-2"/>
          <w:sz w:val="24"/>
        </w:rPr>
        <w:t xml:space="preserve">受河南省公路建设施工企业信用等级被评定为 </w:t>
      </w:r>
      <w:r>
        <w:rPr>
          <w:sz w:val="24"/>
        </w:rPr>
        <w:t>D</w:t>
      </w:r>
      <w:r>
        <w:rPr>
          <w:spacing w:val="-6"/>
          <w:sz w:val="24"/>
        </w:rPr>
        <w:t xml:space="preserve"> 级和处于行业主管部门“黑名单”处罚期内的企业申请。根据《关于修改我省公路工程施工招标评标内容等有关问题的通知》豫交建管【2010】47</w:t>
      </w:r>
      <w:r>
        <w:rPr>
          <w:spacing w:val="-9"/>
          <w:sz w:val="24"/>
        </w:rPr>
        <w:t xml:space="preserve"> 号文件精神，凡出借资质围标串标的从业单位，一经查实，其信用</w:t>
      </w:r>
      <w:r>
        <w:rPr>
          <w:spacing w:val="-6"/>
          <w:sz w:val="24"/>
        </w:rPr>
        <w:t xml:space="preserve">评价等级将直接列为 </w:t>
      </w:r>
      <w:r>
        <w:rPr>
          <w:sz w:val="24"/>
        </w:rPr>
        <w:t>D</w:t>
      </w:r>
      <w:r>
        <w:rPr>
          <w:spacing w:val="-30"/>
          <w:sz w:val="24"/>
        </w:rPr>
        <w:t xml:space="preserve"> 级</w:t>
      </w:r>
      <w:r>
        <w:rPr>
          <w:sz w:val="24"/>
        </w:rPr>
        <w:t>（黑名单）。</w:t>
      </w:r>
    </w:p>
    <w:p>
      <w:pPr>
        <w:pStyle w:val="5"/>
        <w:spacing w:line="306" w:lineRule="exact"/>
        <w:ind w:left="1020"/>
      </w:pPr>
      <w:r>
        <w:t>6、本次招标不接受联合体投标。</w:t>
      </w:r>
    </w:p>
    <w:p>
      <w:pPr>
        <w:pStyle w:val="5"/>
        <w:spacing w:before="156"/>
        <w:ind w:left="1020"/>
      </w:pPr>
      <w:r>
        <w:t>7、本次招标实行资格后审。</w:t>
      </w:r>
    </w:p>
    <w:p>
      <w:pPr>
        <w:spacing w:before="161" w:line="362" w:lineRule="auto"/>
        <w:ind w:left="540" w:right="2744" w:firstLine="480"/>
        <w:jc w:val="left"/>
        <w:rPr>
          <w:b/>
          <w:sz w:val="24"/>
        </w:rPr>
      </w:pPr>
      <w:r>
        <w:rPr>
          <w:sz w:val="24"/>
        </w:rPr>
        <w:t>8</w:t>
      </w:r>
      <w:r>
        <w:rPr>
          <w:spacing w:val="-4"/>
          <w:sz w:val="24"/>
        </w:rPr>
        <w:t xml:space="preserve">、每个投标人最多只允许对本项目任意 </w:t>
      </w:r>
      <w:r>
        <w:rPr>
          <w:sz w:val="24"/>
        </w:rPr>
        <w:t>1</w:t>
      </w:r>
      <w:r>
        <w:rPr>
          <w:spacing w:val="-9"/>
          <w:sz w:val="24"/>
        </w:rPr>
        <w:t xml:space="preserve"> 个合同段进行报名。</w:t>
      </w:r>
      <w:r>
        <w:rPr>
          <w:b/>
          <w:sz w:val="24"/>
        </w:rPr>
        <w:t>四、获取招标文件</w:t>
      </w:r>
    </w:p>
    <w:p>
      <w:pPr>
        <w:pStyle w:val="5"/>
        <w:spacing w:before="156"/>
        <w:ind w:left="1020"/>
      </w:pPr>
      <w:r>
        <w:t xml:space="preserve">4.1 时间: 2022 年 </w:t>
      </w:r>
      <w:r>
        <w:rPr>
          <w:u w:val="single"/>
        </w:rPr>
        <w:t>11</w:t>
      </w:r>
      <w:r>
        <w:t xml:space="preserve"> 月 </w:t>
      </w:r>
      <w:r>
        <w:rPr>
          <w:u w:val="single"/>
        </w:rPr>
        <w:t>10</w:t>
      </w:r>
      <w:r>
        <w:t xml:space="preserve"> 日至 2022 年 </w:t>
      </w:r>
      <w:r>
        <w:rPr>
          <w:u w:val="single"/>
        </w:rPr>
        <w:t>11</w:t>
      </w:r>
      <w:r>
        <w:t xml:space="preserve"> 月 </w:t>
      </w:r>
      <w:r>
        <w:rPr>
          <w:u w:val="single"/>
        </w:rPr>
        <w:t>15</w:t>
      </w:r>
      <w:r>
        <w:t xml:space="preserve"> 日。</w:t>
      </w:r>
    </w:p>
    <w:p>
      <w:pPr>
        <w:spacing w:after="0"/>
        <w:sectPr>
          <w:pgSz w:w="11910" w:h="16840"/>
          <w:pgMar w:top="1380" w:right="720" w:bottom="1080" w:left="820" w:header="746" w:footer="891" w:gutter="0"/>
          <w:cols w:space="720" w:num="1"/>
        </w:sectPr>
      </w:pPr>
    </w:p>
    <w:p>
      <w:pPr>
        <w:pStyle w:val="10"/>
        <w:numPr>
          <w:ilvl w:val="1"/>
          <w:numId w:val="2"/>
        </w:numPr>
        <w:tabs>
          <w:tab w:val="left" w:pos="1441"/>
        </w:tabs>
        <w:spacing w:before="61" w:after="0" w:line="240" w:lineRule="auto"/>
        <w:ind w:left="1440" w:right="0" w:hanging="421"/>
        <w:jc w:val="left"/>
        <w:rPr>
          <w:sz w:val="24"/>
        </w:rPr>
      </w:pPr>
      <w:r>
        <w:fldChar w:fldCharType="begin"/>
      </w:r>
      <w:r>
        <w:instrText xml:space="preserve"> HYPERLINK "http://www.scxzfw.com/" \h </w:instrText>
      </w:r>
      <w:r>
        <w:fldChar w:fldCharType="separate"/>
      </w:r>
      <w:r>
        <w:rPr>
          <w:sz w:val="24"/>
        </w:rPr>
        <w:t>地点:商城县公共资源交易网（http://www.scxzfw.com</w:t>
      </w:r>
      <w:r>
        <w:rPr>
          <w:sz w:val="24"/>
        </w:rPr>
        <w:fldChar w:fldCharType="end"/>
      </w:r>
      <w:r>
        <w:rPr>
          <w:sz w:val="24"/>
        </w:rPr>
        <w:t>）</w:t>
      </w:r>
    </w:p>
    <w:p>
      <w:pPr>
        <w:pStyle w:val="10"/>
        <w:numPr>
          <w:ilvl w:val="1"/>
          <w:numId w:val="2"/>
        </w:numPr>
        <w:tabs>
          <w:tab w:val="left" w:pos="1441"/>
        </w:tabs>
        <w:spacing w:before="160" w:after="0" w:line="364" w:lineRule="auto"/>
        <w:ind w:left="540" w:right="524" w:firstLine="480"/>
        <w:jc w:val="left"/>
        <w:rPr>
          <w:sz w:val="24"/>
        </w:rPr>
      </w:pPr>
      <w:r>
        <w:fldChar w:fldCharType="begin"/>
      </w:r>
      <w:r>
        <w:instrText xml:space="preserve"> HYPERLINK "http://www.scxzfw.com/" \h </w:instrText>
      </w:r>
      <w:r>
        <w:fldChar w:fldCharType="separate"/>
      </w:r>
      <w:r>
        <w:rPr>
          <w:spacing w:val="-1"/>
          <w:sz w:val="24"/>
        </w:rPr>
        <w:t>方式:投标企业首先登陆“商城县公共资源交易网</w:t>
      </w:r>
      <w:r>
        <w:rPr>
          <w:sz w:val="24"/>
        </w:rPr>
        <w:t>（http://www.scxzfw.com</w:t>
      </w:r>
      <w:r>
        <w:rPr>
          <w:sz w:val="24"/>
        </w:rPr>
        <w:fldChar w:fldCharType="end"/>
      </w:r>
      <w:r>
        <w:rPr>
          <w:sz w:val="24"/>
        </w:rPr>
        <w:t xml:space="preserve">）” </w:t>
      </w:r>
      <w:r>
        <w:rPr>
          <w:spacing w:val="-3"/>
          <w:sz w:val="24"/>
        </w:rPr>
        <w:t xml:space="preserve">网站进行交易主体注册，根据通知公告有关办理 </w:t>
      </w:r>
      <w:r>
        <w:rPr>
          <w:sz w:val="24"/>
        </w:rPr>
        <w:t>CA</w:t>
      </w:r>
      <w:r>
        <w:rPr>
          <w:spacing w:val="-13"/>
          <w:sz w:val="24"/>
        </w:rPr>
        <w:t xml:space="preserve"> 数字证书的要求准备好 </w:t>
      </w:r>
      <w:r>
        <w:rPr>
          <w:sz w:val="24"/>
        </w:rPr>
        <w:t>CA</w:t>
      </w:r>
      <w:r>
        <w:rPr>
          <w:spacing w:val="-12"/>
          <w:sz w:val="24"/>
        </w:rPr>
        <w:t xml:space="preserve"> 办理所需</w:t>
      </w:r>
      <w:r>
        <w:rPr>
          <w:spacing w:val="-22"/>
          <w:sz w:val="24"/>
        </w:rPr>
        <w:t xml:space="preserve">资料办理 </w:t>
      </w:r>
      <w:r>
        <w:rPr>
          <w:sz w:val="24"/>
        </w:rPr>
        <w:t>CA</w:t>
      </w:r>
      <w:r>
        <w:rPr>
          <w:spacing w:val="-8"/>
          <w:sz w:val="24"/>
        </w:rPr>
        <w:t xml:space="preserve"> 数字证书。登陆“商城县公共资源交易网</w:t>
      </w:r>
      <w:r>
        <w:rPr>
          <w:sz w:val="24"/>
        </w:rPr>
        <w:t>（</w:t>
      </w:r>
      <w:r>
        <w:fldChar w:fldCharType="begin"/>
      </w:r>
      <w:r>
        <w:instrText xml:space="preserve"> HYPERLINK "http://www.scxzfw.com/" \h </w:instrText>
      </w:r>
      <w:r>
        <w:fldChar w:fldCharType="separate"/>
      </w:r>
      <w:r>
        <w:rPr>
          <w:sz w:val="24"/>
        </w:rPr>
        <w:t>http://www.scxzfw.com</w:t>
      </w:r>
      <w:r>
        <w:rPr>
          <w:sz w:val="24"/>
        </w:rPr>
        <w:fldChar w:fldCharType="end"/>
      </w:r>
      <w:r>
        <w:rPr>
          <w:sz w:val="24"/>
        </w:rPr>
        <w:t>）”网站，凭办理的企业身份认证锁（CA</w:t>
      </w:r>
      <w:r>
        <w:rPr>
          <w:spacing w:val="-12"/>
          <w:sz w:val="24"/>
        </w:rPr>
        <w:t xml:space="preserve"> 数字证书</w:t>
      </w:r>
      <w:r>
        <w:rPr>
          <w:sz w:val="24"/>
        </w:rPr>
        <w:t>）登陆会员系统进行网上投标报名。本次采</w:t>
      </w:r>
      <w:r>
        <w:rPr>
          <w:spacing w:val="-7"/>
          <w:sz w:val="24"/>
        </w:rPr>
        <w:t xml:space="preserve">购实行网上报名，线下不再接受报名。凡有意参加投标者，凭 </w:t>
      </w:r>
      <w:r>
        <w:rPr>
          <w:sz w:val="24"/>
        </w:rPr>
        <w:t>CA</w:t>
      </w:r>
      <w:r>
        <w:rPr>
          <w:spacing w:val="-8"/>
          <w:sz w:val="24"/>
        </w:rPr>
        <w:t xml:space="preserve"> 数字证书登陆会员系统报名后并按网上提示下载招标文件及资料。</w:t>
      </w:r>
    </w:p>
    <w:p>
      <w:pPr>
        <w:pStyle w:val="10"/>
        <w:numPr>
          <w:ilvl w:val="1"/>
          <w:numId w:val="2"/>
        </w:numPr>
        <w:tabs>
          <w:tab w:val="left" w:pos="1441"/>
        </w:tabs>
        <w:spacing w:before="0" w:after="0" w:line="304" w:lineRule="exact"/>
        <w:ind w:left="1440" w:right="0" w:hanging="421"/>
        <w:jc w:val="left"/>
        <w:rPr>
          <w:sz w:val="24"/>
        </w:rPr>
      </w:pPr>
      <w:r>
        <w:rPr>
          <w:sz w:val="24"/>
        </w:rPr>
        <w:t>售价:0</w:t>
      </w:r>
      <w:r>
        <w:rPr>
          <w:spacing w:val="-20"/>
          <w:sz w:val="24"/>
        </w:rPr>
        <w:t xml:space="preserve"> 元。</w:t>
      </w:r>
    </w:p>
    <w:p>
      <w:pPr>
        <w:pStyle w:val="10"/>
        <w:numPr>
          <w:ilvl w:val="1"/>
          <w:numId w:val="2"/>
        </w:numPr>
        <w:tabs>
          <w:tab w:val="left" w:pos="1441"/>
        </w:tabs>
        <w:spacing w:before="161" w:after="0" w:line="362" w:lineRule="auto"/>
        <w:ind w:left="540" w:right="639" w:firstLine="480"/>
        <w:jc w:val="both"/>
        <w:rPr>
          <w:sz w:val="24"/>
        </w:rPr>
      </w:pPr>
      <w:r>
        <w:rPr>
          <w:spacing w:val="-5"/>
          <w:sz w:val="24"/>
        </w:rPr>
        <w:t>请投标企业报名下载招标文件后，及时关注系统业务菜单</w:t>
      </w:r>
      <w:r>
        <w:rPr>
          <w:spacing w:val="-20"/>
          <w:sz w:val="24"/>
        </w:rPr>
        <w:t>（</w:t>
      </w:r>
      <w:r>
        <w:rPr>
          <w:spacing w:val="-7"/>
          <w:sz w:val="24"/>
        </w:rPr>
        <w:t>“招标文件澄清与修</w:t>
      </w:r>
      <w:r>
        <w:rPr>
          <w:sz w:val="24"/>
        </w:rPr>
        <w:t>改”，“控制价文件”）内该项目是否有新的答疑澄清文件或控制价文件。如有请直接下载，不再另行通知。</w:t>
      </w:r>
    </w:p>
    <w:p>
      <w:pPr>
        <w:pStyle w:val="4"/>
        <w:spacing w:before="6"/>
      </w:pPr>
      <w:r>
        <w:t>五、投标文件递交截止时间及开标时间</w:t>
      </w:r>
    </w:p>
    <w:p>
      <w:pPr>
        <w:pStyle w:val="5"/>
        <w:spacing w:before="1"/>
        <w:ind w:left="0"/>
        <w:rPr>
          <w:b/>
        </w:rPr>
      </w:pPr>
    </w:p>
    <w:p>
      <w:pPr>
        <w:pStyle w:val="10"/>
        <w:numPr>
          <w:ilvl w:val="1"/>
          <w:numId w:val="3"/>
        </w:numPr>
        <w:tabs>
          <w:tab w:val="left" w:pos="1681"/>
        </w:tabs>
        <w:spacing w:before="1" w:after="0" w:line="278" w:lineRule="auto"/>
        <w:ind w:left="780" w:right="723" w:firstLine="420"/>
        <w:jc w:val="left"/>
        <w:rPr>
          <w:sz w:val="24"/>
        </w:rPr>
      </w:pPr>
      <w:r>
        <w:rPr>
          <w:sz w:val="24"/>
        </w:rPr>
        <w:t>投标文件递交截止时间及开标时间：2022</w:t>
      </w:r>
      <w:r>
        <w:rPr>
          <w:spacing w:val="-42"/>
          <w:sz w:val="24"/>
        </w:rPr>
        <w:t xml:space="preserve"> 年 </w:t>
      </w:r>
      <w:r>
        <w:rPr>
          <w:sz w:val="24"/>
          <w:u w:val="single"/>
        </w:rPr>
        <w:t>12</w:t>
      </w:r>
      <w:r>
        <w:rPr>
          <w:spacing w:val="-41"/>
          <w:sz w:val="24"/>
        </w:rPr>
        <w:t xml:space="preserve"> 月 </w:t>
      </w:r>
      <w:r>
        <w:rPr>
          <w:sz w:val="24"/>
          <w:u w:val="single"/>
        </w:rPr>
        <w:t>02</w:t>
      </w:r>
      <w:r>
        <w:rPr>
          <w:spacing w:val="-41"/>
          <w:sz w:val="24"/>
        </w:rPr>
        <w:t xml:space="preserve"> 日 </w:t>
      </w:r>
      <w:r>
        <w:rPr>
          <w:sz w:val="24"/>
          <w:u w:val="single"/>
        </w:rPr>
        <w:t>14</w:t>
      </w:r>
      <w:r>
        <w:rPr>
          <w:spacing w:val="-41"/>
          <w:sz w:val="24"/>
        </w:rPr>
        <w:t xml:space="preserve"> 时 </w:t>
      </w:r>
      <w:r>
        <w:rPr>
          <w:sz w:val="24"/>
          <w:u w:val="single"/>
        </w:rPr>
        <w:t>30</w:t>
      </w:r>
      <w:r>
        <w:rPr>
          <w:spacing w:val="-36"/>
          <w:sz w:val="24"/>
        </w:rPr>
        <w:t xml:space="preserve"> 分</w:t>
      </w:r>
      <w:r>
        <w:rPr>
          <w:sz w:val="24"/>
        </w:rPr>
        <w:t>（</w:t>
      </w:r>
      <w:r>
        <w:rPr>
          <w:spacing w:val="-6"/>
          <w:sz w:val="24"/>
        </w:rPr>
        <w:t>北京时</w:t>
      </w:r>
      <w:r>
        <w:rPr>
          <w:sz w:val="24"/>
        </w:rPr>
        <w:t>间）。</w:t>
      </w:r>
    </w:p>
    <w:p>
      <w:pPr>
        <w:pStyle w:val="10"/>
        <w:numPr>
          <w:ilvl w:val="1"/>
          <w:numId w:val="3"/>
        </w:numPr>
        <w:tabs>
          <w:tab w:val="left" w:pos="1681"/>
        </w:tabs>
        <w:spacing w:before="121" w:after="0" w:line="240" w:lineRule="auto"/>
        <w:ind w:left="1680" w:right="0" w:hanging="481"/>
        <w:jc w:val="left"/>
        <w:rPr>
          <w:sz w:val="24"/>
        </w:rPr>
      </w:pPr>
      <w:r>
        <w:rPr>
          <w:sz w:val="24"/>
        </w:rPr>
        <w:t>投标文件递交方式及开标地点：商城县公共资源交易中心（锦尚名城步行街</w:t>
      </w:r>
    </w:p>
    <w:p>
      <w:pPr>
        <w:pStyle w:val="5"/>
        <w:spacing w:before="53"/>
        <w:ind w:left="780"/>
      </w:pPr>
      <w:r>
        <w:t>（B 区）8 号楼二层开标室）。投标人采用下列方式递交投标文件：</w:t>
      </w:r>
    </w:p>
    <w:p>
      <w:pPr>
        <w:pStyle w:val="5"/>
        <w:spacing w:before="170" w:line="278" w:lineRule="auto"/>
        <w:ind w:right="584" w:firstLine="480"/>
      </w:pPr>
      <w:r>
        <w:t>1</w:t>
      </w:r>
      <w:r>
        <w:rPr>
          <w:spacing w:val="-1"/>
        </w:rPr>
        <w:t xml:space="preserve">、网上递交：为保证开标顺利进行，投标人应当最晚在递交投标文件截止时间前， </w:t>
      </w:r>
      <w:r>
        <w:t>通过互联网使用 CA</w:t>
      </w:r>
      <w:r>
        <w:rPr>
          <w:spacing w:val="-5"/>
        </w:rPr>
        <w:t xml:space="preserve"> 数字证书登录 “商城县工程建设电子交易平台”，将已加密电子响应文件上传，并确定已加密投标文件保存上传成功。逾期未完成上传或未按规定加密的投标文件，招标人将拒收。</w:t>
      </w:r>
    </w:p>
    <w:p>
      <w:pPr>
        <w:pStyle w:val="5"/>
        <w:spacing w:before="4" w:line="278" w:lineRule="auto"/>
        <w:ind w:right="704" w:firstLine="480"/>
      </w:pPr>
      <w:r>
        <w:t>2、本项目采用“不见面开标”交易方式，不见面开标大厅网址为</w:t>
      </w:r>
      <w:r>
        <w:fldChar w:fldCharType="begin"/>
      </w:r>
      <w:r>
        <w:instrText xml:space="preserve"> HYPERLINK "http://zfcg.scxzfw.com/bidopen_login" \h </w:instrText>
      </w:r>
      <w:r>
        <w:fldChar w:fldCharType="separate"/>
      </w:r>
      <w:r>
        <w:t>http://zfcg.scxzfw.com/bidopen_login</w:t>
      </w:r>
      <w:r>
        <w:fldChar w:fldCharType="end"/>
      </w:r>
      <w:r>
        <w:t>，投标人无需寄送和递交非加密的电子投标文件，无需到现场参加开启会议，无需到达现场提交原件资料。</w:t>
      </w:r>
    </w:p>
    <w:p>
      <w:pPr>
        <w:pStyle w:val="5"/>
        <w:spacing w:before="2" w:line="280" w:lineRule="auto"/>
        <w:ind w:right="704" w:firstLine="480"/>
      </w:pPr>
      <w:r>
        <w:t>3</w:t>
      </w:r>
      <w:r>
        <w:rPr>
          <w:spacing w:val="-3"/>
        </w:rPr>
        <w:t xml:space="preserve">、投标人应当在公开截止时间前，使用投标人 </w:t>
      </w:r>
      <w:r>
        <w:t>CA</w:t>
      </w:r>
      <w:r>
        <w:rPr>
          <w:spacing w:val="-9"/>
        </w:rPr>
        <w:t xml:space="preserve"> 数字证书登录不见面开标大厅， </w:t>
      </w:r>
      <w:r>
        <w:t>在线签到并准时参加开启活动，并在规定时间内完成投标文件解密、答疑澄清等。</w:t>
      </w:r>
    </w:p>
    <w:p>
      <w:pPr>
        <w:pStyle w:val="5"/>
        <w:spacing w:line="306" w:lineRule="exact"/>
        <w:ind w:left="1020"/>
      </w:pPr>
      <w:r>
        <w:t>4、逾期解密或者没有准时在线参加开启活动导致的一切后果投标人自行承担。</w:t>
      </w:r>
    </w:p>
    <w:p>
      <w:pPr>
        <w:pStyle w:val="5"/>
        <w:spacing w:before="50" w:line="278" w:lineRule="auto"/>
        <w:ind w:right="639" w:firstLine="480"/>
      </w:pPr>
      <w:r>
        <w:t>5</w:t>
      </w:r>
      <w:r>
        <w:rPr>
          <w:spacing w:val="-9"/>
        </w:rPr>
        <w:t xml:space="preserve">、不见面开标服务的具体事宜，请查阅商城县公共资源交易网站首页—下载中心— </w:t>
      </w:r>
      <w:r>
        <w:t>商城县不见面开标大厅系统操作手册 。</w:t>
      </w:r>
    </w:p>
    <w:p>
      <w:pPr>
        <w:pStyle w:val="5"/>
        <w:spacing w:before="2" w:line="278" w:lineRule="auto"/>
        <w:ind w:right="639" w:firstLine="480"/>
      </w:pPr>
      <w:r>
        <w:t>6</w:t>
      </w:r>
      <w:r>
        <w:rPr>
          <w:spacing w:val="-9"/>
        </w:rPr>
        <w:t>、特别提示：投标人在线签到时，应如实准确的填写授权委托人的联系电话，开启</w:t>
      </w:r>
      <w:r>
        <w:t>当天请务必保证电话保持畅通。</w:t>
      </w:r>
    </w:p>
    <w:p>
      <w:pPr>
        <w:pStyle w:val="5"/>
        <w:spacing w:before="4" w:line="278" w:lineRule="auto"/>
        <w:ind w:right="639" w:firstLine="480"/>
        <w:jc w:val="both"/>
      </w:pPr>
      <w:r>
        <w:t>7</w:t>
      </w:r>
      <w:r>
        <w:rPr>
          <w:spacing w:val="-9"/>
        </w:rPr>
        <w:t>、其他注意事项：投标人编制投标文件时，涉及营业执照、资质、业绩、获奖、人</w:t>
      </w:r>
      <w:r>
        <w:rPr>
          <w:spacing w:val="-8"/>
        </w:rPr>
        <w:t>员、财务、 社保、纳税、各类证书等内容，须原件扫描编制在投标文件内，评标</w:t>
      </w:r>
      <w:r>
        <w:t>（</w:t>
      </w:r>
      <w:r>
        <w:rPr>
          <w:spacing w:val="-6"/>
        </w:rPr>
        <w:t>或评</w:t>
      </w:r>
      <w:r>
        <w:t>审）过程中，因扫描件不合法、不真实、不清晰、不准确、不完整、无效、错误等对交易活动所造成的一切后果，由投标人自行负责。</w:t>
      </w:r>
    </w:p>
    <w:p>
      <w:pPr>
        <w:spacing w:after="0" w:line="278" w:lineRule="auto"/>
        <w:jc w:val="both"/>
        <w:sectPr>
          <w:pgSz w:w="11910" w:h="16840"/>
          <w:pgMar w:top="1380" w:right="720" w:bottom="1080" w:left="820" w:header="746" w:footer="891" w:gutter="0"/>
          <w:cols w:space="720" w:num="1"/>
        </w:sectPr>
      </w:pPr>
    </w:p>
    <w:p>
      <w:pPr>
        <w:pStyle w:val="4"/>
        <w:spacing w:before="61"/>
      </w:pPr>
      <w:r>
        <w:t>六、发布公告的媒介</w:t>
      </w:r>
    </w:p>
    <w:p>
      <w:pPr>
        <w:pStyle w:val="5"/>
        <w:spacing w:before="1"/>
        <w:ind w:left="0"/>
        <w:rPr>
          <w:b/>
        </w:rPr>
      </w:pPr>
    </w:p>
    <w:p>
      <w:pPr>
        <w:pStyle w:val="5"/>
        <w:spacing w:line="364" w:lineRule="auto"/>
        <w:ind w:right="639" w:firstLine="480"/>
      </w:pPr>
      <w:r>
        <w:t>本次招标公告在《中国招标投标公共服务平台》、《河南省电子招标投标公共服务平台》、《全国公共资源交易平台（河南省·商城县）》网上同时发布。</w:t>
      </w:r>
    </w:p>
    <w:p>
      <w:pPr>
        <w:pStyle w:val="4"/>
        <w:spacing w:line="306" w:lineRule="exact"/>
      </w:pPr>
      <w:r>
        <w:t>七、联系方式</w:t>
      </w:r>
    </w:p>
    <w:p>
      <w:pPr>
        <w:pStyle w:val="5"/>
        <w:spacing w:before="2"/>
        <w:ind w:left="0"/>
        <w:rPr>
          <w:b/>
        </w:rPr>
      </w:pPr>
    </w:p>
    <w:p>
      <w:pPr>
        <w:pStyle w:val="5"/>
        <w:ind w:left="1020"/>
      </w:pPr>
      <w:r>
        <w:t>招 标 人：商城县交通运输局</w:t>
      </w:r>
    </w:p>
    <w:p>
      <w:pPr>
        <w:pStyle w:val="5"/>
        <w:tabs>
          <w:tab w:val="left" w:pos="1740"/>
        </w:tabs>
        <w:spacing w:before="161" w:line="362" w:lineRule="auto"/>
        <w:ind w:left="1020" w:right="5864"/>
      </w:pPr>
      <w:r>
        <w:t>地</w:t>
      </w:r>
      <w:r>
        <w:tab/>
      </w:r>
      <w:r>
        <w:t>址：商城县滨河路北</w:t>
      </w:r>
      <w:r>
        <w:rPr>
          <w:spacing w:val="-60"/>
        </w:rPr>
        <w:t xml:space="preserve"> </w:t>
      </w:r>
      <w:r>
        <w:t>21</w:t>
      </w:r>
      <w:r>
        <w:rPr>
          <w:spacing w:val="-60"/>
        </w:rPr>
        <w:t xml:space="preserve"> </w:t>
      </w:r>
      <w:r>
        <w:rPr>
          <w:spacing w:val="-17"/>
        </w:rPr>
        <w:t>号</w:t>
      </w:r>
      <w:r>
        <w:t>联 系 人：吴先生</w:t>
      </w:r>
    </w:p>
    <w:p>
      <w:pPr>
        <w:pStyle w:val="5"/>
        <w:tabs>
          <w:tab w:val="left" w:pos="1740"/>
        </w:tabs>
        <w:spacing w:before="5"/>
        <w:ind w:left="1020"/>
      </w:pPr>
      <w:r>
        <w:t>电</w:t>
      </w:r>
      <w:r>
        <w:tab/>
      </w:r>
      <w:r>
        <w:t>话：0376-7926618</w:t>
      </w:r>
    </w:p>
    <w:p>
      <w:pPr>
        <w:pStyle w:val="5"/>
        <w:spacing w:before="160"/>
        <w:ind w:left="1020"/>
      </w:pPr>
      <w:r>
        <w:t>招标代理机构：中恒工程咨询有限公司</w:t>
      </w:r>
    </w:p>
    <w:p>
      <w:pPr>
        <w:pStyle w:val="5"/>
        <w:tabs>
          <w:tab w:val="left" w:pos="1740"/>
        </w:tabs>
        <w:spacing w:before="158" w:line="362" w:lineRule="auto"/>
        <w:ind w:left="1020" w:right="944"/>
      </w:pPr>
      <w:r>
        <w:t>地</w:t>
      </w:r>
      <w:r>
        <w:tab/>
      </w:r>
      <w:r>
        <w:t>址：河南自贸试验区郑州片区（经开）正商经开广场</w:t>
      </w:r>
      <w:r>
        <w:rPr>
          <w:spacing w:val="-60"/>
        </w:rPr>
        <w:t xml:space="preserve"> </w:t>
      </w:r>
      <w:r>
        <w:t>3</w:t>
      </w:r>
      <w:r>
        <w:rPr>
          <w:spacing w:val="-60"/>
        </w:rPr>
        <w:t xml:space="preserve"> </w:t>
      </w:r>
      <w:r>
        <w:t>号楼</w:t>
      </w:r>
      <w:r>
        <w:rPr>
          <w:spacing w:val="-60"/>
        </w:rPr>
        <w:t xml:space="preserve"> </w:t>
      </w:r>
      <w:r>
        <w:t>2</w:t>
      </w:r>
      <w:r>
        <w:rPr>
          <w:spacing w:val="-60"/>
        </w:rPr>
        <w:t xml:space="preserve"> </w:t>
      </w:r>
      <w:r>
        <w:t>单元</w:t>
      </w:r>
      <w:r>
        <w:rPr>
          <w:spacing w:val="-60"/>
        </w:rPr>
        <w:t xml:space="preserve"> </w:t>
      </w:r>
      <w:r>
        <w:t>808</w:t>
      </w:r>
      <w:r>
        <w:rPr>
          <w:spacing w:val="-60"/>
        </w:rPr>
        <w:t xml:space="preserve"> </w:t>
      </w:r>
      <w:r>
        <w:rPr>
          <w:spacing w:val="-17"/>
        </w:rPr>
        <w:t>室</w:t>
      </w:r>
      <w:r>
        <w:t>联 系 人:</w:t>
      </w:r>
      <w:r>
        <w:rPr>
          <w:spacing w:val="-15"/>
        </w:rPr>
        <w:t xml:space="preserve"> </w:t>
      </w:r>
      <w:r>
        <w:t>杜梅</w:t>
      </w:r>
    </w:p>
    <w:p>
      <w:pPr>
        <w:pStyle w:val="5"/>
        <w:tabs>
          <w:tab w:val="left" w:pos="1740"/>
        </w:tabs>
        <w:spacing w:before="5"/>
        <w:ind w:left="1020"/>
      </w:pPr>
      <w:r>
        <w:t>电</w:t>
      </w:r>
      <w:r>
        <w:tab/>
      </w:r>
      <w:r>
        <w:t>话：0371-55036011/15565510610</w:t>
      </w:r>
    </w:p>
    <w:p>
      <w:pPr>
        <w:pStyle w:val="5"/>
        <w:tabs>
          <w:tab w:val="left" w:pos="1740"/>
        </w:tabs>
        <w:spacing w:before="161" w:line="362" w:lineRule="auto"/>
        <w:ind w:left="1020" w:right="6224"/>
      </w:pPr>
      <w:r>
        <w:t>监督单位：商城县交通运输</w:t>
      </w:r>
      <w:r>
        <w:rPr>
          <w:spacing w:val="-17"/>
        </w:rPr>
        <w:t>局</w:t>
      </w:r>
      <w:r>
        <w:t>电</w:t>
      </w:r>
      <w:r>
        <w:tab/>
      </w:r>
      <w:r>
        <w:t>话：0376-7926618</w:t>
      </w:r>
    </w:p>
    <w:p>
      <w:pPr>
        <w:spacing w:after="0" w:line="362" w:lineRule="auto"/>
        <w:sectPr>
          <w:pgSz w:w="11910" w:h="16840"/>
          <w:pgMar w:top="1380" w:right="720" w:bottom="1080" w:left="820" w:header="746" w:footer="891" w:gutter="0"/>
          <w:cols w:space="720" w:num="1"/>
        </w:sectPr>
      </w:pPr>
    </w:p>
    <w:p>
      <w:pPr>
        <w:spacing w:before="51" w:line="456" w:lineRule="exact"/>
        <w:ind w:left="257" w:right="360" w:firstLine="0"/>
        <w:jc w:val="center"/>
        <w:rPr>
          <w:b/>
          <w:sz w:val="36"/>
        </w:rPr>
      </w:pPr>
      <w:bookmarkStart w:id="3" w:name="第二章 投标人须知"/>
      <w:bookmarkEnd w:id="3"/>
      <w:r>
        <w:rPr>
          <w:b/>
          <w:sz w:val="36"/>
        </w:rPr>
        <w:t>第二章 投标人须知</w:t>
      </w:r>
    </w:p>
    <w:p>
      <w:pPr>
        <w:pStyle w:val="4"/>
        <w:spacing w:line="302" w:lineRule="exact"/>
        <w:ind w:left="262" w:right="360"/>
        <w:jc w:val="center"/>
      </w:pPr>
      <w:r>
        <w:t>投标人须知前附表</w:t>
      </w:r>
    </w:p>
    <w:p>
      <w:pPr>
        <w:pStyle w:val="5"/>
        <w:spacing w:before="3"/>
        <w:ind w:left="0"/>
        <w:rPr>
          <w:b/>
          <w:sz w:val="12"/>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98" w:type="dxa"/>
          </w:tcPr>
          <w:p>
            <w:pPr>
              <w:pStyle w:val="11"/>
              <w:rPr>
                <w:b/>
                <w:sz w:val="24"/>
              </w:rPr>
            </w:pPr>
          </w:p>
          <w:p>
            <w:pPr>
              <w:pStyle w:val="11"/>
              <w:spacing w:before="160"/>
              <w:ind w:left="108"/>
              <w:rPr>
                <w:sz w:val="24"/>
              </w:rPr>
            </w:pPr>
            <w:r>
              <w:rPr>
                <w:sz w:val="24"/>
              </w:rPr>
              <w:t>1.1.2</w:t>
            </w:r>
          </w:p>
        </w:tc>
        <w:tc>
          <w:tcPr>
            <w:tcW w:w="1701" w:type="dxa"/>
          </w:tcPr>
          <w:p>
            <w:pPr>
              <w:pStyle w:val="11"/>
              <w:rPr>
                <w:b/>
                <w:sz w:val="24"/>
              </w:rPr>
            </w:pPr>
          </w:p>
          <w:p>
            <w:pPr>
              <w:pStyle w:val="11"/>
              <w:spacing w:before="160"/>
              <w:ind w:left="108"/>
              <w:rPr>
                <w:sz w:val="24"/>
              </w:rPr>
            </w:pPr>
            <w:r>
              <w:rPr>
                <w:sz w:val="24"/>
              </w:rPr>
              <w:t>招标人</w:t>
            </w:r>
          </w:p>
        </w:tc>
        <w:tc>
          <w:tcPr>
            <w:tcW w:w="7332" w:type="dxa"/>
          </w:tcPr>
          <w:p>
            <w:pPr>
              <w:pStyle w:val="11"/>
              <w:ind w:left="106"/>
              <w:rPr>
                <w:sz w:val="24"/>
              </w:rPr>
            </w:pPr>
            <w:r>
              <w:rPr>
                <w:sz w:val="24"/>
              </w:rPr>
              <w:t>招 标 人：商城县交通运输局</w:t>
            </w:r>
          </w:p>
          <w:p>
            <w:pPr>
              <w:pStyle w:val="11"/>
              <w:tabs>
                <w:tab w:val="left" w:pos="826"/>
              </w:tabs>
              <w:spacing w:before="4" w:line="242" w:lineRule="auto"/>
              <w:ind w:left="106" w:right="3733"/>
              <w:rPr>
                <w:sz w:val="24"/>
              </w:rPr>
            </w:pPr>
            <w:r>
              <w:rPr>
                <w:sz w:val="24"/>
              </w:rPr>
              <w:t>地</w:t>
            </w:r>
            <w:r>
              <w:rPr>
                <w:sz w:val="24"/>
              </w:rPr>
              <w:tab/>
            </w:r>
            <w:r>
              <w:rPr>
                <w:sz w:val="24"/>
              </w:rPr>
              <w:t>址：商城县滨河路北</w:t>
            </w:r>
            <w:r>
              <w:rPr>
                <w:spacing w:val="-60"/>
                <w:sz w:val="24"/>
              </w:rPr>
              <w:t xml:space="preserve"> </w:t>
            </w:r>
            <w:r>
              <w:rPr>
                <w:sz w:val="24"/>
              </w:rPr>
              <w:t>21</w:t>
            </w:r>
            <w:r>
              <w:rPr>
                <w:spacing w:val="-60"/>
                <w:sz w:val="24"/>
              </w:rPr>
              <w:t xml:space="preserve"> </w:t>
            </w:r>
            <w:r>
              <w:rPr>
                <w:spacing w:val="-17"/>
                <w:sz w:val="24"/>
              </w:rPr>
              <w:t>号</w:t>
            </w:r>
            <w:r>
              <w:rPr>
                <w:sz w:val="24"/>
              </w:rPr>
              <w:t>联 系 人：吴先生</w:t>
            </w:r>
          </w:p>
          <w:p>
            <w:pPr>
              <w:pStyle w:val="11"/>
              <w:tabs>
                <w:tab w:val="left" w:pos="826"/>
              </w:tabs>
              <w:spacing w:before="1" w:line="291" w:lineRule="exact"/>
              <w:ind w:left="106"/>
              <w:rPr>
                <w:sz w:val="24"/>
              </w:rPr>
            </w:pPr>
            <w:r>
              <w:rPr>
                <w:sz w:val="24"/>
              </w:rPr>
              <w:t>电</w:t>
            </w:r>
            <w:r>
              <w:rPr>
                <w:sz w:val="24"/>
              </w:rPr>
              <w:tab/>
            </w:r>
            <w:r>
              <w:rPr>
                <w:sz w:val="24"/>
              </w:rPr>
              <w:t>话：0376-7926618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98" w:type="dxa"/>
          </w:tcPr>
          <w:p>
            <w:pPr>
              <w:pStyle w:val="11"/>
              <w:rPr>
                <w:b/>
                <w:sz w:val="24"/>
              </w:rPr>
            </w:pPr>
          </w:p>
          <w:p>
            <w:pPr>
              <w:pStyle w:val="11"/>
              <w:spacing w:before="158"/>
              <w:ind w:left="108"/>
              <w:rPr>
                <w:sz w:val="24"/>
              </w:rPr>
            </w:pPr>
            <w:r>
              <w:rPr>
                <w:sz w:val="24"/>
              </w:rPr>
              <w:t>1.1.3</w:t>
            </w:r>
          </w:p>
        </w:tc>
        <w:tc>
          <w:tcPr>
            <w:tcW w:w="1701" w:type="dxa"/>
          </w:tcPr>
          <w:p>
            <w:pPr>
              <w:pStyle w:val="11"/>
              <w:rPr>
                <w:b/>
                <w:sz w:val="24"/>
              </w:rPr>
            </w:pPr>
          </w:p>
          <w:p>
            <w:pPr>
              <w:pStyle w:val="11"/>
              <w:spacing w:before="158"/>
              <w:ind w:left="108"/>
              <w:rPr>
                <w:sz w:val="24"/>
              </w:rPr>
            </w:pPr>
            <w:r>
              <w:rPr>
                <w:sz w:val="24"/>
              </w:rPr>
              <w:t>招标代理机构</w:t>
            </w:r>
          </w:p>
        </w:tc>
        <w:tc>
          <w:tcPr>
            <w:tcW w:w="7332" w:type="dxa"/>
          </w:tcPr>
          <w:p>
            <w:pPr>
              <w:pStyle w:val="11"/>
              <w:ind w:left="106"/>
              <w:rPr>
                <w:sz w:val="24"/>
              </w:rPr>
            </w:pPr>
            <w:r>
              <w:rPr>
                <w:sz w:val="24"/>
              </w:rPr>
              <w:t>招标代理机构：中恒工程咨询有限公司</w:t>
            </w:r>
          </w:p>
          <w:p>
            <w:pPr>
              <w:pStyle w:val="11"/>
              <w:spacing w:before="5" w:line="242" w:lineRule="auto"/>
              <w:ind w:left="106" w:right="253"/>
              <w:rPr>
                <w:sz w:val="24"/>
              </w:rPr>
            </w:pPr>
            <w:r>
              <w:rPr>
                <w:sz w:val="24"/>
              </w:rPr>
              <w:t>地址：河南自贸试验区（经开）</w:t>
            </w:r>
            <w:r>
              <w:rPr>
                <w:spacing w:val="-9"/>
                <w:sz w:val="24"/>
              </w:rPr>
              <w:t xml:space="preserve">正商经开广场 </w:t>
            </w:r>
            <w:r>
              <w:rPr>
                <w:sz w:val="24"/>
              </w:rPr>
              <w:t>3</w:t>
            </w:r>
            <w:r>
              <w:rPr>
                <w:spacing w:val="-30"/>
                <w:sz w:val="24"/>
              </w:rPr>
              <w:t xml:space="preserve"> 号楼 </w:t>
            </w:r>
            <w:r>
              <w:rPr>
                <w:sz w:val="24"/>
              </w:rPr>
              <w:t>2</w:t>
            </w:r>
            <w:r>
              <w:rPr>
                <w:spacing w:val="-30"/>
                <w:sz w:val="24"/>
              </w:rPr>
              <w:t xml:space="preserve"> 单元 </w:t>
            </w:r>
            <w:r>
              <w:rPr>
                <w:sz w:val="24"/>
              </w:rPr>
              <w:t>808</w:t>
            </w:r>
            <w:r>
              <w:rPr>
                <w:spacing w:val="-39"/>
                <w:sz w:val="24"/>
              </w:rPr>
              <w:t xml:space="preserve"> 室</w:t>
            </w:r>
            <w:r>
              <w:rPr>
                <w:sz w:val="24"/>
              </w:rPr>
              <w:t>联系人:杜梅</w:t>
            </w:r>
          </w:p>
          <w:p>
            <w:pPr>
              <w:pStyle w:val="11"/>
              <w:tabs>
                <w:tab w:val="left" w:pos="586"/>
              </w:tabs>
              <w:spacing w:line="291" w:lineRule="exact"/>
              <w:ind w:left="106"/>
              <w:rPr>
                <w:sz w:val="24"/>
              </w:rPr>
            </w:pPr>
            <w:r>
              <w:rPr>
                <w:sz w:val="24"/>
              </w:rPr>
              <w:t>电</w:t>
            </w:r>
            <w:r>
              <w:rPr>
                <w:sz w:val="24"/>
              </w:rPr>
              <w:tab/>
            </w:r>
            <w:r>
              <w:rPr>
                <w:sz w:val="24"/>
              </w:rPr>
              <w:t>话：0371-55036011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1.1.4</w:t>
            </w:r>
          </w:p>
        </w:tc>
        <w:tc>
          <w:tcPr>
            <w:tcW w:w="1701" w:type="dxa"/>
          </w:tcPr>
          <w:p>
            <w:pPr>
              <w:pStyle w:val="11"/>
              <w:spacing w:before="72"/>
              <w:ind w:left="108"/>
              <w:rPr>
                <w:sz w:val="24"/>
              </w:rPr>
            </w:pPr>
            <w:r>
              <w:rPr>
                <w:sz w:val="24"/>
              </w:rPr>
              <w:t>工程名称</w:t>
            </w:r>
          </w:p>
        </w:tc>
        <w:tc>
          <w:tcPr>
            <w:tcW w:w="7332" w:type="dxa"/>
          </w:tcPr>
          <w:p>
            <w:pPr>
              <w:pStyle w:val="11"/>
              <w:spacing w:before="72"/>
              <w:ind w:left="106"/>
              <w:rPr>
                <w:sz w:val="24"/>
              </w:rPr>
            </w:pPr>
            <w:r>
              <w:rPr>
                <w:sz w:val="24"/>
              </w:rPr>
              <w:t>商城县 X005 观庙镇至双轮河段改建工程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1.1.5</w:t>
            </w:r>
          </w:p>
        </w:tc>
        <w:tc>
          <w:tcPr>
            <w:tcW w:w="1701" w:type="dxa"/>
          </w:tcPr>
          <w:p>
            <w:pPr>
              <w:pStyle w:val="11"/>
              <w:spacing w:before="72"/>
              <w:ind w:left="108"/>
              <w:rPr>
                <w:sz w:val="24"/>
              </w:rPr>
            </w:pPr>
            <w:r>
              <w:rPr>
                <w:sz w:val="24"/>
              </w:rPr>
              <w:t>工程地址</w:t>
            </w:r>
          </w:p>
        </w:tc>
        <w:tc>
          <w:tcPr>
            <w:tcW w:w="7332" w:type="dxa"/>
          </w:tcPr>
          <w:p>
            <w:pPr>
              <w:pStyle w:val="11"/>
              <w:spacing w:before="72"/>
              <w:ind w:left="106"/>
              <w:rPr>
                <w:sz w:val="24"/>
              </w:rPr>
            </w:pPr>
            <w:r>
              <w:rPr>
                <w:sz w:val="24"/>
              </w:rPr>
              <w:t>商城县境内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1"/>
              <w:ind w:left="108"/>
              <w:rPr>
                <w:sz w:val="24"/>
              </w:rPr>
            </w:pPr>
            <w:r>
              <w:rPr>
                <w:sz w:val="24"/>
              </w:rPr>
              <w:t>1.2.1</w:t>
            </w:r>
          </w:p>
        </w:tc>
        <w:tc>
          <w:tcPr>
            <w:tcW w:w="1701" w:type="dxa"/>
          </w:tcPr>
          <w:p>
            <w:pPr>
              <w:pStyle w:val="11"/>
              <w:spacing w:before="71"/>
              <w:ind w:left="108"/>
              <w:rPr>
                <w:sz w:val="24"/>
              </w:rPr>
            </w:pPr>
            <w:r>
              <w:rPr>
                <w:sz w:val="24"/>
              </w:rPr>
              <w:t>资金来源</w:t>
            </w:r>
          </w:p>
        </w:tc>
        <w:tc>
          <w:tcPr>
            <w:tcW w:w="7332" w:type="dxa"/>
          </w:tcPr>
          <w:p>
            <w:pPr>
              <w:pStyle w:val="11"/>
              <w:spacing w:before="71"/>
              <w:ind w:left="106"/>
              <w:rPr>
                <w:sz w:val="24"/>
              </w:rPr>
            </w:pPr>
            <w:r>
              <w:rPr>
                <w:sz w:val="24"/>
              </w:rPr>
              <w:t>上级补助及县财政配套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1.2.2</w:t>
            </w:r>
          </w:p>
        </w:tc>
        <w:tc>
          <w:tcPr>
            <w:tcW w:w="1701" w:type="dxa"/>
          </w:tcPr>
          <w:p>
            <w:pPr>
              <w:pStyle w:val="11"/>
              <w:spacing w:before="72"/>
              <w:ind w:left="108"/>
              <w:rPr>
                <w:sz w:val="24"/>
              </w:rPr>
            </w:pPr>
            <w:r>
              <w:rPr>
                <w:sz w:val="24"/>
              </w:rPr>
              <w:t>资金落实情况</w:t>
            </w:r>
          </w:p>
        </w:tc>
        <w:tc>
          <w:tcPr>
            <w:tcW w:w="7332" w:type="dxa"/>
          </w:tcPr>
          <w:p>
            <w:pPr>
              <w:pStyle w:val="11"/>
              <w:spacing w:before="72"/>
              <w:ind w:left="106"/>
              <w:rPr>
                <w:sz w:val="24"/>
              </w:rPr>
            </w:pPr>
            <w:r>
              <w:rPr>
                <w:sz w:val="24"/>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1.3.1</w:t>
            </w:r>
          </w:p>
        </w:tc>
        <w:tc>
          <w:tcPr>
            <w:tcW w:w="1701" w:type="dxa"/>
          </w:tcPr>
          <w:p>
            <w:pPr>
              <w:pStyle w:val="11"/>
              <w:spacing w:before="156"/>
              <w:ind w:left="108"/>
              <w:rPr>
                <w:sz w:val="24"/>
              </w:rPr>
            </w:pPr>
            <w:r>
              <w:rPr>
                <w:sz w:val="24"/>
              </w:rPr>
              <w:t>招标范围</w:t>
            </w:r>
          </w:p>
        </w:tc>
        <w:tc>
          <w:tcPr>
            <w:tcW w:w="7332" w:type="dxa"/>
          </w:tcPr>
          <w:p>
            <w:pPr>
              <w:pStyle w:val="11"/>
              <w:spacing w:line="310" w:lineRule="atLeast"/>
              <w:ind w:left="106" w:right="94"/>
              <w:rPr>
                <w:sz w:val="24"/>
              </w:rPr>
            </w:pPr>
            <w:r>
              <w:rPr>
                <w:sz w:val="24"/>
              </w:rPr>
              <w:t>施工图纸所含全部内容及缺陷责任期的工程施工,具体工程量以招标工程量清单为准。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3"/>
              <w:ind w:left="108"/>
              <w:rPr>
                <w:sz w:val="24"/>
              </w:rPr>
            </w:pPr>
            <w:r>
              <w:rPr>
                <w:sz w:val="24"/>
              </w:rPr>
              <w:t>1.3.2</w:t>
            </w:r>
          </w:p>
        </w:tc>
        <w:tc>
          <w:tcPr>
            <w:tcW w:w="1701" w:type="dxa"/>
          </w:tcPr>
          <w:p>
            <w:pPr>
              <w:pStyle w:val="11"/>
              <w:spacing w:before="73"/>
              <w:ind w:left="108"/>
              <w:rPr>
                <w:sz w:val="24"/>
              </w:rPr>
            </w:pPr>
            <w:r>
              <w:rPr>
                <w:sz w:val="24"/>
              </w:rPr>
              <w:t>计划工期</w:t>
            </w:r>
          </w:p>
        </w:tc>
        <w:tc>
          <w:tcPr>
            <w:tcW w:w="7332" w:type="dxa"/>
          </w:tcPr>
          <w:p>
            <w:pPr>
              <w:pStyle w:val="11"/>
              <w:spacing w:before="73"/>
              <w:ind w:left="106"/>
              <w:rPr>
                <w:sz w:val="24"/>
              </w:rPr>
            </w:pPr>
            <w:r>
              <w:rPr>
                <w:sz w:val="24"/>
              </w:rPr>
              <w:t>270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1.3.3</w:t>
            </w:r>
          </w:p>
        </w:tc>
        <w:tc>
          <w:tcPr>
            <w:tcW w:w="1701" w:type="dxa"/>
          </w:tcPr>
          <w:p>
            <w:pPr>
              <w:pStyle w:val="11"/>
              <w:spacing w:before="72"/>
              <w:ind w:left="108"/>
              <w:rPr>
                <w:sz w:val="24"/>
              </w:rPr>
            </w:pPr>
            <w:r>
              <w:rPr>
                <w:sz w:val="24"/>
              </w:rPr>
              <w:t>质量要求</w:t>
            </w:r>
          </w:p>
        </w:tc>
        <w:tc>
          <w:tcPr>
            <w:tcW w:w="7332" w:type="dxa"/>
          </w:tcPr>
          <w:p>
            <w:pPr>
              <w:pStyle w:val="11"/>
              <w:spacing w:before="72"/>
              <w:ind w:left="106"/>
              <w:rPr>
                <w:sz w:val="24"/>
              </w:rPr>
            </w:pPr>
            <w:r>
              <w:rPr>
                <w:sz w:val="24"/>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4"/>
              <w:ind w:left="108"/>
              <w:rPr>
                <w:sz w:val="24"/>
              </w:rPr>
            </w:pPr>
            <w:r>
              <w:rPr>
                <w:sz w:val="24"/>
              </w:rPr>
              <w:t>1.3.4</w:t>
            </w:r>
          </w:p>
        </w:tc>
        <w:tc>
          <w:tcPr>
            <w:tcW w:w="1701" w:type="dxa"/>
          </w:tcPr>
          <w:p>
            <w:pPr>
              <w:pStyle w:val="11"/>
              <w:spacing w:before="74"/>
              <w:ind w:left="108"/>
              <w:rPr>
                <w:sz w:val="24"/>
              </w:rPr>
            </w:pPr>
            <w:r>
              <w:rPr>
                <w:sz w:val="24"/>
              </w:rPr>
              <w:t>安全目标</w:t>
            </w:r>
          </w:p>
        </w:tc>
        <w:tc>
          <w:tcPr>
            <w:tcW w:w="7332" w:type="dxa"/>
          </w:tcPr>
          <w:p>
            <w:pPr>
              <w:pStyle w:val="11"/>
              <w:spacing w:before="74"/>
              <w:ind w:left="106"/>
              <w:rPr>
                <w:sz w:val="24"/>
              </w:rPr>
            </w:pPr>
            <w:r>
              <w:rPr>
                <w:sz w:val="24"/>
              </w:rPr>
              <w:t>安全生产零事故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998" w:type="dxa"/>
          </w:tcPr>
          <w:p>
            <w:pPr>
              <w:pStyle w:val="11"/>
              <w:rPr>
                <w:b/>
                <w:sz w:val="24"/>
              </w:rPr>
            </w:pPr>
          </w:p>
          <w:p>
            <w:pPr>
              <w:pStyle w:val="11"/>
              <w:spacing w:before="8"/>
              <w:rPr>
                <w:b/>
                <w:sz w:val="24"/>
              </w:rPr>
            </w:pPr>
          </w:p>
          <w:p>
            <w:pPr>
              <w:pStyle w:val="11"/>
              <w:ind w:left="108"/>
              <w:rPr>
                <w:sz w:val="24"/>
              </w:rPr>
            </w:pPr>
            <w:r>
              <w:rPr>
                <w:sz w:val="24"/>
              </w:rPr>
              <w:t>1.4.1</w:t>
            </w:r>
          </w:p>
        </w:tc>
        <w:tc>
          <w:tcPr>
            <w:tcW w:w="1701" w:type="dxa"/>
          </w:tcPr>
          <w:p>
            <w:pPr>
              <w:pStyle w:val="11"/>
              <w:spacing w:before="5"/>
              <w:rPr>
                <w:b/>
                <w:sz w:val="24"/>
              </w:rPr>
            </w:pPr>
          </w:p>
          <w:p>
            <w:pPr>
              <w:pStyle w:val="11"/>
              <w:spacing w:before="1" w:line="242" w:lineRule="auto"/>
              <w:ind w:left="108" w:right="94"/>
              <w:jc w:val="both"/>
              <w:rPr>
                <w:sz w:val="24"/>
              </w:rPr>
            </w:pPr>
            <w:r>
              <w:rPr>
                <w:sz w:val="24"/>
              </w:rPr>
              <w:t>投标人资质条件、能力和信誉</w:t>
            </w:r>
          </w:p>
        </w:tc>
        <w:tc>
          <w:tcPr>
            <w:tcW w:w="7332" w:type="dxa"/>
          </w:tcPr>
          <w:p>
            <w:pPr>
              <w:pStyle w:val="11"/>
              <w:spacing w:before="1"/>
              <w:ind w:left="106"/>
              <w:rPr>
                <w:sz w:val="24"/>
              </w:rPr>
            </w:pPr>
            <w:r>
              <w:rPr>
                <w:sz w:val="24"/>
              </w:rPr>
              <w:t>资质要求：见附录 1</w:t>
            </w:r>
          </w:p>
          <w:p>
            <w:pPr>
              <w:pStyle w:val="11"/>
              <w:spacing w:before="5"/>
              <w:ind w:left="106"/>
              <w:rPr>
                <w:sz w:val="24"/>
              </w:rPr>
            </w:pPr>
            <w:r>
              <w:rPr>
                <w:sz w:val="24"/>
              </w:rPr>
              <w:t>财务要求：见附录 2</w:t>
            </w:r>
          </w:p>
          <w:p>
            <w:pPr>
              <w:pStyle w:val="11"/>
              <w:spacing w:before="2"/>
              <w:ind w:left="106"/>
              <w:rPr>
                <w:sz w:val="24"/>
              </w:rPr>
            </w:pPr>
            <w:r>
              <w:rPr>
                <w:sz w:val="24"/>
              </w:rPr>
              <w:t>业绩要求：见附录 3</w:t>
            </w:r>
          </w:p>
          <w:p>
            <w:pPr>
              <w:pStyle w:val="11"/>
              <w:spacing w:before="4"/>
              <w:ind w:left="106"/>
              <w:rPr>
                <w:sz w:val="24"/>
              </w:rPr>
            </w:pPr>
            <w:r>
              <w:rPr>
                <w:sz w:val="24"/>
              </w:rPr>
              <w:t>信誉要求：见附录 4</w:t>
            </w:r>
          </w:p>
          <w:p>
            <w:pPr>
              <w:pStyle w:val="11"/>
              <w:spacing w:before="5" w:line="290" w:lineRule="exact"/>
              <w:ind w:left="106"/>
              <w:rPr>
                <w:sz w:val="24"/>
              </w:rPr>
            </w:pPr>
            <w:r>
              <w:rPr>
                <w:sz w:val="24"/>
              </w:rPr>
              <w:t>项目经理和项目总工资格：见附录 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5"/>
              <w:ind w:left="108"/>
              <w:rPr>
                <w:sz w:val="24"/>
              </w:rPr>
            </w:pPr>
            <w:r>
              <w:rPr>
                <w:sz w:val="24"/>
              </w:rPr>
              <w:t>1.4.2</w:t>
            </w:r>
          </w:p>
        </w:tc>
        <w:tc>
          <w:tcPr>
            <w:tcW w:w="1701" w:type="dxa"/>
          </w:tcPr>
          <w:p>
            <w:pPr>
              <w:pStyle w:val="11"/>
              <w:spacing w:before="1"/>
              <w:ind w:left="108"/>
              <w:rPr>
                <w:sz w:val="24"/>
              </w:rPr>
            </w:pPr>
            <w:r>
              <w:rPr>
                <w:sz w:val="24"/>
              </w:rPr>
              <w:t>是否接受联合</w:t>
            </w:r>
          </w:p>
          <w:p>
            <w:pPr>
              <w:pStyle w:val="11"/>
              <w:spacing w:before="2" w:line="291" w:lineRule="exact"/>
              <w:ind w:left="108"/>
              <w:rPr>
                <w:sz w:val="24"/>
              </w:rPr>
            </w:pPr>
            <w:r>
              <w:rPr>
                <w:sz w:val="24"/>
              </w:rPr>
              <w:t>体投标</w:t>
            </w:r>
          </w:p>
        </w:tc>
        <w:tc>
          <w:tcPr>
            <w:tcW w:w="7332" w:type="dxa"/>
          </w:tcPr>
          <w:p>
            <w:pPr>
              <w:pStyle w:val="11"/>
              <w:spacing w:before="155"/>
              <w:ind w:left="106"/>
              <w:rPr>
                <w:sz w:val="24"/>
              </w:rPr>
            </w:pPr>
            <w:r>
              <w:rPr>
                <w:sz w:val="24"/>
              </w:rPr>
              <w:t>不接受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08"/>
              <w:rPr>
                <w:sz w:val="24"/>
              </w:rPr>
            </w:pPr>
            <w:r>
              <w:rPr>
                <w:sz w:val="24"/>
              </w:rPr>
              <w:t>1.9.1</w:t>
            </w:r>
          </w:p>
        </w:tc>
        <w:tc>
          <w:tcPr>
            <w:tcW w:w="1701" w:type="dxa"/>
          </w:tcPr>
          <w:p>
            <w:pPr>
              <w:pStyle w:val="11"/>
              <w:spacing w:before="73"/>
              <w:ind w:left="108"/>
              <w:rPr>
                <w:sz w:val="24"/>
              </w:rPr>
            </w:pPr>
            <w:r>
              <w:rPr>
                <w:sz w:val="24"/>
              </w:rPr>
              <w:t>踏勘现场</w:t>
            </w:r>
          </w:p>
        </w:tc>
        <w:tc>
          <w:tcPr>
            <w:tcW w:w="7332" w:type="dxa"/>
          </w:tcPr>
          <w:p>
            <w:pPr>
              <w:pStyle w:val="11"/>
              <w:spacing w:before="73"/>
              <w:ind w:left="106"/>
              <w:rPr>
                <w:sz w:val="24"/>
              </w:rPr>
            </w:pPr>
            <w:r>
              <w:rPr>
                <w:sz w:val="24"/>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1.10.1</w:t>
            </w:r>
          </w:p>
        </w:tc>
        <w:tc>
          <w:tcPr>
            <w:tcW w:w="1701" w:type="dxa"/>
          </w:tcPr>
          <w:p>
            <w:pPr>
              <w:pStyle w:val="11"/>
              <w:spacing w:before="72"/>
              <w:ind w:left="108"/>
              <w:rPr>
                <w:sz w:val="24"/>
              </w:rPr>
            </w:pPr>
            <w:r>
              <w:rPr>
                <w:sz w:val="24"/>
              </w:rPr>
              <w:t>投标预备会</w:t>
            </w:r>
          </w:p>
        </w:tc>
        <w:tc>
          <w:tcPr>
            <w:tcW w:w="7332" w:type="dxa"/>
          </w:tcPr>
          <w:p>
            <w:pPr>
              <w:pStyle w:val="11"/>
              <w:spacing w:before="72"/>
              <w:ind w:left="106"/>
              <w:rPr>
                <w:sz w:val="24"/>
              </w:rPr>
            </w:pPr>
            <w:r>
              <w:rPr>
                <w:sz w:val="24"/>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spacing w:before="3"/>
              <w:rPr>
                <w:b/>
                <w:sz w:val="24"/>
              </w:rPr>
            </w:pPr>
          </w:p>
          <w:p>
            <w:pPr>
              <w:pStyle w:val="11"/>
              <w:ind w:left="108"/>
              <w:rPr>
                <w:sz w:val="24"/>
              </w:rPr>
            </w:pPr>
            <w:r>
              <w:rPr>
                <w:sz w:val="24"/>
              </w:rPr>
              <w:t>1.10.2</w:t>
            </w:r>
          </w:p>
        </w:tc>
        <w:tc>
          <w:tcPr>
            <w:tcW w:w="1701" w:type="dxa"/>
            <w:vMerge w:val="restart"/>
          </w:tcPr>
          <w:p>
            <w:pPr>
              <w:pStyle w:val="11"/>
              <w:spacing w:before="1"/>
              <w:ind w:left="108"/>
              <w:rPr>
                <w:sz w:val="24"/>
              </w:rPr>
            </w:pPr>
            <w:r>
              <w:rPr>
                <w:sz w:val="24"/>
              </w:rPr>
              <w:t>投标人在投标</w:t>
            </w:r>
          </w:p>
          <w:p>
            <w:pPr>
              <w:pStyle w:val="11"/>
              <w:spacing w:before="2" w:line="310" w:lineRule="atLeast"/>
              <w:ind w:left="108" w:right="94"/>
              <w:rPr>
                <w:sz w:val="24"/>
              </w:rPr>
            </w:pPr>
            <w:r>
              <w:rPr>
                <w:sz w:val="24"/>
              </w:rPr>
              <w:t>预备会前提出问题</w:t>
            </w:r>
          </w:p>
        </w:tc>
        <w:tc>
          <w:tcPr>
            <w:tcW w:w="7332" w:type="dxa"/>
          </w:tcPr>
          <w:p>
            <w:pPr>
              <w:pStyle w:val="11"/>
              <w:spacing w:before="73"/>
              <w:ind w:left="106"/>
              <w:rPr>
                <w:sz w:val="24"/>
              </w:rPr>
            </w:pPr>
            <w:r>
              <w:rPr>
                <w:sz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80"/>
              <w:ind w:left="106"/>
              <w:rPr>
                <w:sz w:val="24"/>
              </w:rPr>
            </w:pPr>
            <w:r>
              <w:rPr>
                <w:sz w:val="24"/>
              </w:rPr>
              <w:t>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2"/>
              <w:ind w:left="108"/>
              <w:rPr>
                <w:sz w:val="24"/>
              </w:rPr>
            </w:pPr>
            <w:r>
              <w:rPr>
                <w:sz w:val="24"/>
              </w:rPr>
              <w:t>1.11.1</w:t>
            </w:r>
          </w:p>
        </w:tc>
        <w:tc>
          <w:tcPr>
            <w:tcW w:w="1701" w:type="dxa"/>
          </w:tcPr>
          <w:p>
            <w:pPr>
              <w:pStyle w:val="11"/>
              <w:spacing w:before="72"/>
              <w:ind w:left="108"/>
              <w:rPr>
                <w:sz w:val="24"/>
              </w:rPr>
            </w:pPr>
            <w:r>
              <w:rPr>
                <w:sz w:val="24"/>
              </w:rPr>
              <w:t>分包</w:t>
            </w:r>
          </w:p>
        </w:tc>
        <w:tc>
          <w:tcPr>
            <w:tcW w:w="7332" w:type="dxa"/>
          </w:tcPr>
          <w:p>
            <w:pPr>
              <w:pStyle w:val="11"/>
              <w:spacing w:before="72"/>
              <w:ind w:left="106"/>
              <w:rPr>
                <w:sz w:val="24"/>
              </w:rPr>
            </w:pPr>
            <w:r>
              <w:rPr>
                <w:sz w:val="24"/>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2.1</w:t>
            </w:r>
          </w:p>
        </w:tc>
        <w:tc>
          <w:tcPr>
            <w:tcW w:w="1701" w:type="dxa"/>
          </w:tcPr>
          <w:p>
            <w:pPr>
              <w:pStyle w:val="11"/>
              <w:ind w:left="108"/>
              <w:rPr>
                <w:sz w:val="24"/>
              </w:rPr>
            </w:pPr>
            <w:r>
              <w:rPr>
                <w:sz w:val="24"/>
              </w:rPr>
              <w:t>构成招标文件</w:t>
            </w:r>
          </w:p>
          <w:p>
            <w:pPr>
              <w:pStyle w:val="11"/>
              <w:spacing w:before="4" w:line="290" w:lineRule="exact"/>
              <w:ind w:left="108"/>
              <w:rPr>
                <w:sz w:val="24"/>
              </w:rPr>
            </w:pPr>
            <w:r>
              <w:rPr>
                <w:sz w:val="24"/>
              </w:rPr>
              <w:t>的其他资料</w:t>
            </w:r>
          </w:p>
        </w:tc>
        <w:tc>
          <w:tcPr>
            <w:tcW w:w="7332" w:type="dxa"/>
          </w:tcPr>
          <w:p>
            <w:pPr>
              <w:pStyle w:val="11"/>
              <w:ind w:left="106"/>
              <w:rPr>
                <w:sz w:val="24"/>
              </w:rPr>
            </w:pPr>
            <w:r>
              <w:rPr>
                <w:sz w:val="24"/>
              </w:rPr>
              <w:t>除招标文件外，招标人在招标期间发出的澄清、修改、补充、补遗和</w:t>
            </w:r>
          </w:p>
          <w:p>
            <w:pPr>
              <w:pStyle w:val="11"/>
              <w:spacing w:before="4" w:line="290" w:lineRule="exact"/>
              <w:ind w:left="106"/>
              <w:rPr>
                <w:sz w:val="24"/>
              </w:rPr>
            </w:pPr>
            <w:r>
              <w:rPr>
                <w:sz w:val="24"/>
              </w:rPr>
              <w:t>其他有效正式函件等内容是招标文件的组成部分。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spacing w:before="9"/>
              <w:rPr>
                <w:b/>
                <w:sz w:val="23"/>
              </w:rPr>
            </w:pPr>
          </w:p>
          <w:p>
            <w:pPr>
              <w:pStyle w:val="11"/>
              <w:ind w:left="108"/>
              <w:rPr>
                <w:sz w:val="24"/>
              </w:rPr>
            </w:pPr>
            <w:r>
              <w:rPr>
                <w:sz w:val="24"/>
              </w:rPr>
              <w:t>2.2.1</w:t>
            </w:r>
          </w:p>
        </w:tc>
        <w:tc>
          <w:tcPr>
            <w:tcW w:w="1701" w:type="dxa"/>
            <w:vMerge w:val="restart"/>
          </w:tcPr>
          <w:p>
            <w:pPr>
              <w:pStyle w:val="11"/>
              <w:spacing w:before="148" w:line="242" w:lineRule="auto"/>
              <w:ind w:left="108" w:right="94"/>
              <w:rPr>
                <w:sz w:val="24"/>
              </w:rPr>
            </w:pPr>
            <w:r>
              <w:rPr>
                <w:sz w:val="24"/>
              </w:rPr>
              <w:t>投标人要求澄清招标文件</w:t>
            </w:r>
          </w:p>
        </w:tc>
        <w:tc>
          <w:tcPr>
            <w:tcW w:w="7332" w:type="dxa"/>
          </w:tcPr>
          <w:p>
            <w:pPr>
              <w:pStyle w:val="11"/>
              <w:spacing w:before="73"/>
              <w:ind w:left="106"/>
              <w:rPr>
                <w:sz w:val="24"/>
              </w:rPr>
            </w:pPr>
            <w:r>
              <w:rPr>
                <w:sz w:val="24"/>
              </w:rPr>
              <w:t>时间：递交投标文件截止之日 15 天前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73"/>
              <w:ind w:left="106"/>
              <w:rPr>
                <w:sz w:val="24"/>
              </w:rPr>
            </w:pPr>
            <w:r>
              <w:rPr>
                <w:sz w:val="24"/>
              </w:rPr>
              <w:t>形式：书面</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2.2.2</w:t>
            </w:r>
          </w:p>
        </w:tc>
        <w:tc>
          <w:tcPr>
            <w:tcW w:w="1701" w:type="dxa"/>
          </w:tcPr>
          <w:p>
            <w:pPr>
              <w:pStyle w:val="11"/>
              <w:spacing w:line="310" w:lineRule="atLeast"/>
              <w:ind w:left="108" w:right="94"/>
              <w:rPr>
                <w:sz w:val="24"/>
              </w:rPr>
            </w:pPr>
            <w:r>
              <w:rPr>
                <w:sz w:val="24"/>
              </w:rPr>
              <w:t>招标文件澄清发出的形式</w:t>
            </w:r>
          </w:p>
        </w:tc>
        <w:tc>
          <w:tcPr>
            <w:tcW w:w="7332" w:type="dxa"/>
          </w:tcPr>
          <w:p>
            <w:pPr>
              <w:pStyle w:val="11"/>
              <w:spacing w:before="156"/>
              <w:ind w:left="106"/>
              <w:rPr>
                <w:sz w:val="24"/>
              </w:rPr>
            </w:pPr>
            <w:r>
              <w:rPr>
                <w:sz w:val="24"/>
              </w:rPr>
              <w:t>以澄清公告的形式在商城县公共资源交易中心网站上发布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vMerge w:val="restart"/>
          </w:tcPr>
          <w:p>
            <w:pPr>
              <w:pStyle w:val="11"/>
              <w:spacing w:before="11"/>
              <w:rPr>
                <w:rFonts w:ascii="Times New Roman"/>
                <w:sz w:val="26"/>
              </w:rPr>
            </w:pPr>
          </w:p>
          <w:p>
            <w:pPr>
              <w:pStyle w:val="11"/>
              <w:ind w:left="108"/>
              <w:rPr>
                <w:sz w:val="24"/>
              </w:rPr>
            </w:pPr>
            <w:r>
              <w:rPr>
                <w:sz w:val="24"/>
              </w:rPr>
              <w:t>2.2.3</w:t>
            </w:r>
          </w:p>
        </w:tc>
        <w:tc>
          <w:tcPr>
            <w:tcW w:w="1701" w:type="dxa"/>
            <w:vMerge w:val="restart"/>
          </w:tcPr>
          <w:p>
            <w:pPr>
              <w:pStyle w:val="11"/>
              <w:ind w:left="108"/>
              <w:rPr>
                <w:sz w:val="24"/>
              </w:rPr>
            </w:pPr>
            <w:r>
              <w:rPr>
                <w:sz w:val="24"/>
              </w:rPr>
              <w:t>投标人确认收</w:t>
            </w:r>
          </w:p>
          <w:p>
            <w:pPr>
              <w:pStyle w:val="11"/>
              <w:spacing w:before="2" w:line="310" w:lineRule="atLeast"/>
              <w:ind w:left="108" w:right="94"/>
              <w:rPr>
                <w:sz w:val="24"/>
              </w:rPr>
            </w:pPr>
            <w:r>
              <w:rPr>
                <w:sz w:val="24"/>
              </w:rPr>
              <w:t>到招标文件澄清</w:t>
            </w:r>
          </w:p>
        </w:tc>
        <w:tc>
          <w:tcPr>
            <w:tcW w:w="7332" w:type="dxa"/>
          </w:tcPr>
          <w:p>
            <w:pPr>
              <w:pStyle w:val="11"/>
              <w:spacing w:before="72"/>
              <w:ind w:left="106"/>
              <w:rPr>
                <w:sz w:val="24"/>
              </w:rPr>
            </w:pPr>
            <w:r>
              <w:rPr>
                <w:sz w:val="24"/>
              </w:rPr>
              <w:t>时间：收到澄清后 24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79"/>
              <w:ind w:left="106"/>
              <w:rPr>
                <w:sz w:val="24"/>
              </w:rPr>
            </w:pPr>
            <w:r>
              <w:rPr>
                <w:sz w:val="24"/>
              </w:rPr>
              <w:t>形式：书面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2.3.1</w:t>
            </w:r>
          </w:p>
        </w:tc>
        <w:tc>
          <w:tcPr>
            <w:tcW w:w="1701" w:type="dxa"/>
          </w:tcPr>
          <w:p>
            <w:pPr>
              <w:pStyle w:val="11"/>
              <w:spacing w:line="310" w:lineRule="atLeast"/>
              <w:ind w:left="108" w:right="94"/>
              <w:rPr>
                <w:sz w:val="24"/>
              </w:rPr>
            </w:pPr>
            <w:r>
              <w:rPr>
                <w:sz w:val="24"/>
              </w:rPr>
              <w:t>招标文件修改发出的形式</w:t>
            </w:r>
          </w:p>
        </w:tc>
        <w:tc>
          <w:tcPr>
            <w:tcW w:w="7332" w:type="dxa"/>
          </w:tcPr>
          <w:p>
            <w:pPr>
              <w:pStyle w:val="11"/>
              <w:spacing w:before="157"/>
              <w:ind w:left="106"/>
              <w:rPr>
                <w:sz w:val="24"/>
              </w:rPr>
            </w:pPr>
            <w:r>
              <w:rPr>
                <w:sz w:val="24"/>
              </w:rPr>
              <w:t>以修改公告的形式在商城县公共资源交易中心网站上发布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vMerge w:val="restart"/>
          </w:tcPr>
          <w:p>
            <w:pPr>
              <w:pStyle w:val="11"/>
              <w:rPr>
                <w:rFonts w:ascii="Times New Roman"/>
                <w:sz w:val="27"/>
              </w:rPr>
            </w:pPr>
          </w:p>
          <w:p>
            <w:pPr>
              <w:pStyle w:val="11"/>
              <w:ind w:left="108"/>
              <w:rPr>
                <w:sz w:val="24"/>
              </w:rPr>
            </w:pPr>
            <w:r>
              <w:rPr>
                <w:sz w:val="24"/>
              </w:rPr>
              <w:t>2.3.2</w:t>
            </w:r>
          </w:p>
        </w:tc>
        <w:tc>
          <w:tcPr>
            <w:tcW w:w="1701" w:type="dxa"/>
            <w:vMerge w:val="restart"/>
          </w:tcPr>
          <w:p>
            <w:pPr>
              <w:pStyle w:val="11"/>
              <w:spacing w:before="1" w:line="242" w:lineRule="auto"/>
              <w:ind w:left="108" w:right="94"/>
              <w:rPr>
                <w:sz w:val="24"/>
              </w:rPr>
            </w:pPr>
            <w:r>
              <w:rPr>
                <w:sz w:val="24"/>
              </w:rPr>
              <w:t>投标人确认收到招标文件修</w:t>
            </w:r>
          </w:p>
          <w:p>
            <w:pPr>
              <w:pStyle w:val="11"/>
              <w:spacing w:before="1" w:line="291" w:lineRule="exact"/>
              <w:ind w:left="108"/>
              <w:rPr>
                <w:sz w:val="24"/>
              </w:rPr>
            </w:pPr>
            <w:r>
              <w:rPr>
                <w:sz w:val="24"/>
              </w:rPr>
              <w:t>改</w:t>
            </w:r>
          </w:p>
        </w:tc>
        <w:tc>
          <w:tcPr>
            <w:tcW w:w="7332" w:type="dxa"/>
          </w:tcPr>
          <w:p>
            <w:pPr>
              <w:pStyle w:val="11"/>
              <w:spacing w:before="71"/>
              <w:ind w:left="106"/>
              <w:rPr>
                <w:sz w:val="24"/>
              </w:rPr>
            </w:pPr>
            <w:r>
              <w:rPr>
                <w:sz w:val="24"/>
              </w:rPr>
              <w:t>时间：收到修改后 24 小时内（以发出时间为准）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98"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7332" w:type="dxa"/>
          </w:tcPr>
          <w:p>
            <w:pPr>
              <w:pStyle w:val="11"/>
              <w:spacing w:before="80"/>
              <w:ind w:left="106"/>
              <w:rPr>
                <w:sz w:val="24"/>
              </w:rPr>
            </w:pPr>
            <w:r>
              <w:rPr>
                <w:sz w:val="24"/>
              </w:rPr>
              <w:t>形式：书面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3.1.1</w:t>
            </w:r>
          </w:p>
        </w:tc>
        <w:tc>
          <w:tcPr>
            <w:tcW w:w="1701" w:type="dxa"/>
          </w:tcPr>
          <w:p>
            <w:pPr>
              <w:pStyle w:val="11"/>
              <w:ind w:left="108"/>
              <w:rPr>
                <w:sz w:val="24"/>
              </w:rPr>
            </w:pPr>
            <w:r>
              <w:rPr>
                <w:sz w:val="24"/>
              </w:rPr>
              <w:t>构成投标文件</w:t>
            </w:r>
          </w:p>
          <w:p>
            <w:pPr>
              <w:pStyle w:val="11"/>
              <w:spacing w:before="5" w:line="289" w:lineRule="exact"/>
              <w:ind w:left="108"/>
              <w:rPr>
                <w:sz w:val="24"/>
              </w:rPr>
            </w:pPr>
            <w:r>
              <w:rPr>
                <w:sz w:val="24"/>
              </w:rPr>
              <w:t>的其他资料</w:t>
            </w:r>
          </w:p>
        </w:tc>
        <w:tc>
          <w:tcPr>
            <w:tcW w:w="7332" w:type="dxa"/>
          </w:tcPr>
          <w:p>
            <w:pPr>
              <w:pStyle w:val="11"/>
              <w:ind w:left="106"/>
              <w:rPr>
                <w:sz w:val="24"/>
              </w:rPr>
            </w:pPr>
            <w:r>
              <w:rPr>
                <w:sz w:val="24"/>
              </w:rPr>
              <w:t>本项目所发出的补遗书及通知</w:t>
            </w:r>
          </w:p>
          <w:p>
            <w:pPr>
              <w:pStyle w:val="11"/>
              <w:spacing w:before="5" w:line="289" w:lineRule="exact"/>
              <w:ind w:left="106"/>
              <w:rPr>
                <w:sz w:val="24"/>
              </w:rPr>
            </w:pPr>
            <w:r>
              <w:rPr>
                <w:sz w:val="24"/>
              </w:rPr>
              <w:t>2、投标人认为其他需要补充的内容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3.2.1</w:t>
            </w:r>
          </w:p>
        </w:tc>
        <w:tc>
          <w:tcPr>
            <w:tcW w:w="1701" w:type="dxa"/>
          </w:tcPr>
          <w:p>
            <w:pPr>
              <w:pStyle w:val="11"/>
              <w:spacing w:before="2"/>
              <w:ind w:left="108"/>
              <w:rPr>
                <w:sz w:val="24"/>
              </w:rPr>
            </w:pPr>
            <w:r>
              <w:rPr>
                <w:sz w:val="24"/>
              </w:rPr>
              <w:t>增值税税金计</w:t>
            </w:r>
          </w:p>
          <w:p>
            <w:pPr>
              <w:pStyle w:val="11"/>
              <w:spacing w:before="4" w:line="289" w:lineRule="exact"/>
              <w:ind w:left="108"/>
              <w:rPr>
                <w:sz w:val="24"/>
              </w:rPr>
            </w:pPr>
            <w:r>
              <w:rPr>
                <w:sz w:val="24"/>
              </w:rPr>
              <w:t>算方法</w:t>
            </w:r>
          </w:p>
        </w:tc>
        <w:tc>
          <w:tcPr>
            <w:tcW w:w="7332" w:type="dxa"/>
          </w:tcPr>
          <w:p>
            <w:pPr>
              <w:pStyle w:val="11"/>
              <w:spacing w:before="158"/>
              <w:ind w:left="106"/>
              <w:rPr>
                <w:sz w:val="24"/>
              </w:rPr>
            </w:pPr>
            <w:r>
              <w:rPr>
                <w:sz w:val="24"/>
              </w:rPr>
              <w:t>按一般计税方法计算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3.2.1</w:t>
            </w:r>
          </w:p>
        </w:tc>
        <w:tc>
          <w:tcPr>
            <w:tcW w:w="1701" w:type="dxa"/>
          </w:tcPr>
          <w:p>
            <w:pPr>
              <w:pStyle w:val="11"/>
              <w:ind w:left="108"/>
              <w:rPr>
                <w:sz w:val="24"/>
              </w:rPr>
            </w:pPr>
            <w:r>
              <w:rPr>
                <w:sz w:val="24"/>
              </w:rPr>
              <w:t>工程量清单的</w:t>
            </w:r>
          </w:p>
          <w:p>
            <w:pPr>
              <w:pStyle w:val="11"/>
              <w:spacing w:before="5" w:line="290" w:lineRule="exact"/>
              <w:ind w:left="108"/>
              <w:rPr>
                <w:sz w:val="24"/>
              </w:rPr>
            </w:pPr>
            <w:r>
              <w:rPr>
                <w:sz w:val="24"/>
              </w:rPr>
              <w:t>填写方式</w:t>
            </w:r>
          </w:p>
        </w:tc>
        <w:tc>
          <w:tcPr>
            <w:tcW w:w="7332" w:type="dxa"/>
          </w:tcPr>
          <w:p>
            <w:pPr>
              <w:pStyle w:val="11"/>
              <w:numPr>
                <w:ilvl w:val="0"/>
                <w:numId w:val="4"/>
              </w:numPr>
              <w:tabs>
                <w:tab w:val="left" w:pos="352"/>
              </w:tabs>
              <w:spacing w:before="0" w:after="0" w:line="240" w:lineRule="auto"/>
              <w:ind w:left="351" w:right="0" w:hanging="246"/>
              <w:jc w:val="left"/>
              <w:rPr>
                <w:sz w:val="24"/>
              </w:rPr>
            </w:pPr>
            <w:r>
              <w:rPr>
                <w:spacing w:val="3"/>
                <w:sz w:val="24"/>
              </w:rPr>
              <w:t>投标人按照招标人提供的工程量固化清单电子文件填写工程量清</w:t>
            </w:r>
          </w:p>
          <w:p>
            <w:pPr>
              <w:pStyle w:val="11"/>
              <w:spacing w:before="5" w:line="290" w:lineRule="exact"/>
              <w:ind w:left="106"/>
              <w:rPr>
                <w:sz w:val="24"/>
              </w:rPr>
            </w:pPr>
            <w:r>
              <w:rPr>
                <w:sz w:val="24"/>
              </w:rPr>
              <w:t>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3" w:hRule="atLeast"/>
        </w:trPr>
        <w:tc>
          <w:tcPr>
            <w:tcW w:w="998" w:type="dxa"/>
          </w:tcPr>
          <w:p>
            <w:pPr>
              <w:pStyle w:val="11"/>
              <w:spacing w:before="74"/>
              <w:ind w:left="108"/>
              <w:rPr>
                <w:sz w:val="24"/>
              </w:rPr>
            </w:pPr>
            <w:r>
              <w:rPr>
                <w:sz w:val="24"/>
              </w:rPr>
              <w:t>3.2.3</w:t>
            </w:r>
          </w:p>
        </w:tc>
        <w:tc>
          <w:tcPr>
            <w:tcW w:w="1701" w:type="dxa"/>
          </w:tcPr>
          <w:p>
            <w:pPr>
              <w:pStyle w:val="11"/>
              <w:spacing w:before="74"/>
              <w:ind w:left="108"/>
              <w:rPr>
                <w:sz w:val="24"/>
              </w:rPr>
            </w:pPr>
            <w:r>
              <w:rPr>
                <w:sz w:val="24"/>
              </w:rPr>
              <w:t>报价方式</w:t>
            </w:r>
          </w:p>
        </w:tc>
        <w:tc>
          <w:tcPr>
            <w:tcW w:w="7332" w:type="dxa"/>
          </w:tcPr>
          <w:p>
            <w:pPr>
              <w:pStyle w:val="11"/>
              <w:spacing w:before="74"/>
              <w:ind w:left="106"/>
              <w:rPr>
                <w:sz w:val="24"/>
              </w:rPr>
            </w:pPr>
            <w:r>
              <w:rPr>
                <w:sz w:val="24"/>
              </w:rPr>
              <w:t>单价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7"/>
              <w:ind w:left="108"/>
              <w:rPr>
                <w:sz w:val="24"/>
              </w:rPr>
            </w:pPr>
            <w:r>
              <w:rPr>
                <w:sz w:val="24"/>
              </w:rPr>
              <w:t>3.2.6</w:t>
            </w:r>
          </w:p>
        </w:tc>
        <w:tc>
          <w:tcPr>
            <w:tcW w:w="1701" w:type="dxa"/>
          </w:tcPr>
          <w:p>
            <w:pPr>
              <w:pStyle w:val="11"/>
              <w:spacing w:before="1"/>
              <w:ind w:left="108"/>
              <w:rPr>
                <w:sz w:val="24"/>
              </w:rPr>
            </w:pPr>
            <w:r>
              <w:rPr>
                <w:sz w:val="24"/>
              </w:rPr>
              <w:t>是否接受调价</w:t>
            </w:r>
          </w:p>
          <w:p>
            <w:pPr>
              <w:pStyle w:val="11"/>
              <w:spacing w:before="4" w:line="290" w:lineRule="exact"/>
              <w:ind w:left="108"/>
              <w:rPr>
                <w:sz w:val="24"/>
              </w:rPr>
            </w:pPr>
            <w:r>
              <w:rPr>
                <w:sz w:val="24"/>
              </w:rPr>
              <w:t>函</w:t>
            </w:r>
          </w:p>
        </w:tc>
        <w:tc>
          <w:tcPr>
            <w:tcW w:w="7332" w:type="dxa"/>
          </w:tcPr>
          <w:p>
            <w:pPr>
              <w:pStyle w:val="11"/>
              <w:spacing w:before="157"/>
              <w:ind w:left="106"/>
              <w:rPr>
                <w:sz w:val="24"/>
              </w:rPr>
            </w:pP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1" w:hRule="atLeast"/>
        </w:trPr>
        <w:tc>
          <w:tcPr>
            <w:tcW w:w="998" w:type="dxa"/>
          </w:tcPr>
          <w:p>
            <w:pPr>
              <w:pStyle w:val="11"/>
              <w:spacing w:before="155"/>
              <w:ind w:left="108"/>
              <w:rPr>
                <w:sz w:val="24"/>
              </w:rPr>
            </w:pPr>
            <w:r>
              <w:rPr>
                <w:sz w:val="24"/>
              </w:rPr>
              <w:t>3.2.8</w:t>
            </w:r>
          </w:p>
        </w:tc>
        <w:tc>
          <w:tcPr>
            <w:tcW w:w="1701" w:type="dxa"/>
          </w:tcPr>
          <w:p>
            <w:pPr>
              <w:pStyle w:val="11"/>
              <w:spacing w:before="155"/>
              <w:ind w:left="108"/>
              <w:rPr>
                <w:sz w:val="24"/>
              </w:rPr>
            </w:pPr>
            <w:r>
              <w:rPr>
                <w:sz w:val="24"/>
              </w:rPr>
              <w:t>招标控制价</w:t>
            </w:r>
          </w:p>
        </w:tc>
        <w:tc>
          <w:tcPr>
            <w:tcW w:w="7332" w:type="dxa"/>
          </w:tcPr>
          <w:p>
            <w:pPr>
              <w:pStyle w:val="11"/>
              <w:spacing w:before="2"/>
              <w:ind w:left="106"/>
              <w:rPr>
                <w:sz w:val="24"/>
              </w:rPr>
            </w:pPr>
            <w:r>
              <w:rPr>
                <w:sz w:val="24"/>
              </w:rPr>
              <w:t>本项目设有招标控制价，招标控制价在开标之日五天前在全国公共资</w:t>
            </w:r>
          </w:p>
          <w:p>
            <w:pPr>
              <w:pStyle w:val="11"/>
              <w:spacing w:before="2" w:line="291" w:lineRule="exact"/>
              <w:ind w:left="106"/>
              <w:rPr>
                <w:sz w:val="24"/>
              </w:rPr>
            </w:pPr>
            <w:r>
              <w:rPr>
                <w:sz w:val="24"/>
              </w:rPr>
              <w:t>源交易网（河南省·商城县）发布。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7"/>
              <w:ind w:left="108"/>
              <w:rPr>
                <w:sz w:val="24"/>
              </w:rPr>
            </w:pPr>
            <w:r>
              <w:rPr>
                <w:sz w:val="24"/>
              </w:rPr>
              <w:t>3.2.9</w:t>
            </w:r>
          </w:p>
        </w:tc>
        <w:tc>
          <w:tcPr>
            <w:tcW w:w="1701" w:type="dxa"/>
          </w:tcPr>
          <w:p>
            <w:pPr>
              <w:pStyle w:val="11"/>
              <w:spacing w:before="1"/>
              <w:ind w:left="108"/>
              <w:rPr>
                <w:sz w:val="24"/>
              </w:rPr>
            </w:pPr>
            <w:r>
              <w:rPr>
                <w:sz w:val="24"/>
              </w:rPr>
              <w:t>投标报价的其</w:t>
            </w:r>
          </w:p>
          <w:p>
            <w:pPr>
              <w:pStyle w:val="11"/>
              <w:spacing w:before="4" w:line="290" w:lineRule="exact"/>
              <w:ind w:left="108"/>
              <w:rPr>
                <w:sz w:val="24"/>
              </w:rPr>
            </w:pPr>
            <w:r>
              <w:rPr>
                <w:sz w:val="24"/>
              </w:rPr>
              <w:t>他要求</w:t>
            </w:r>
          </w:p>
        </w:tc>
        <w:tc>
          <w:tcPr>
            <w:tcW w:w="7332" w:type="dxa"/>
          </w:tcPr>
          <w:p>
            <w:pPr>
              <w:pStyle w:val="11"/>
              <w:spacing w:before="157"/>
              <w:ind w:left="106"/>
              <w:rPr>
                <w:sz w:val="24"/>
              </w:rPr>
            </w:pPr>
            <w:r>
              <w:rPr>
                <w:sz w:val="24"/>
              </w:rPr>
              <w:t>安全生产费：参照招标控制价计取方式。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spacing w:before="71"/>
              <w:ind w:left="108"/>
              <w:rPr>
                <w:sz w:val="24"/>
              </w:rPr>
            </w:pPr>
            <w:r>
              <w:rPr>
                <w:sz w:val="24"/>
              </w:rPr>
              <w:t>3.3.1</w:t>
            </w:r>
          </w:p>
        </w:tc>
        <w:tc>
          <w:tcPr>
            <w:tcW w:w="1701" w:type="dxa"/>
          </w:tcPr>
          <w:p>
            <w:pPr>
              <w:pStyle w:val="11"/>
              <w:spacing w:before="71"/>
              <w:ind w:left="108"/>
              <w:rPr>
                <w:sz w:val="24"/>
              </w:rPr>
            </w:pPr>
            <w:r>
              <w:rPr>
                <w:sz w:val="24"/>
              </w:rPr>
              <w:t>投标有效期</w:t>
            </w:r>
          </w:p>
        </w:tc>
        <w:tc>
          <w:tcPr>
            <w:tcW w:w="7332" w:type="dxa"/>
          </w:tcPr>
          <w:p>
            <w:pPr>
              <w:pStyle w:val="11"/>
              <w:spacing w:before="71"/>
              <w:ind w:left="106"/>
              <w:rPr>
                <w:sz w:val="24"/>
              </w:rPr>
            </w:pPr>
            <w:r>
              <w:rPr>
                <w:sz w:val="24"/>
              </w:rPr>
              <w:t>自投标人提交投标文件截止之日起计算 90 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9" w:hRule="atLeast"/>
        </w:trPr>
        <w:tc>
          <w:tcPr>
            <w:tcW w:w="998" w:type="dxa"/>
          </w:tcPr>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spacing w:before="5"/>
              <w:rPr>
                <w:rFonts w:ascii="Times New Roman"/>
                <w:sz w:val="24"/>
              </w:rPr>
            </w:pPr>
          </w:p>
          <w:p>
            <w:pPr>
              <w:pStyle w:val="11"/>
              <w:ind w:left="108"/>
              <w:rPr>
                <w:sz w:val="24"/>
              </w:rPr>
            </w:pPr>
            <w:r>
              <w:rPr>
                <w:sz w:val="24"/>
              </w:rPr>
              <w:t>3.4.1</w:t>
            </w:r>
          </w:p>
        </w:tc>
        <w:tc>
          <w:tcPr>
            <w:tcW w:w="1701" w:type="dxa"/>
          </w:tcPr>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rPr>
                <w:rFonts w:ascii="Times New Roman"/>
                <w:sz w:val="24"/>
              </w:rPr>
            </w:pPr>
          </w:p>
          <w:p>
            <w:pPr>
              <w:pStyle w:val="11"/>
              <w:spacing w:before="5"/>
              <w:rPr>
                <w:rFonts w:ascii="Times New Roman"/>
                <w:sz w:val="24"/>
              </w:rPr>
            </w:pPr>
          </w:p>
          <w:p>
            <w:pPr>
              <w:pStyle w:val="11"/>
              <w:ind w:left="108"/>
              <w:rPr>
                <w:sz w:val="24"/>
              </w:rPr>
            </w:pPr>
            <w:r>
              <w:rPr>
                <w:sz w:val="24"/>
              </w:rPr>
              <w:t>投标保证金</w:t>
            </w:r>
          </w:p>
        </w:tc>
        <w:tc>
          <w:tcPr>
            <w:tcW w:w="7332" w:type="dxa"/>
          </w:tcPr>
          <w:p>
            <w:pPr>
              <w:pStyle w:val="11"/>
              <w:ind w:left="106"/>
              <w:rPr>
                <w:sz w:val="24"/>
              </w:rPr>
            </w:pPr>
            <w:r>
              <w:rPr>
                <w:sz w:val="24"/>
              </w:rPr>
              <w:t>投标保证金金额为：叁拾万元整</w:t>
            </w:r>
          </w:p>
          <w:p>
            <w:pPr>
              <w:pStyle w:val="11"/>
              <w:spacing w:before="5" w:line="242" w:lineRule="auto"/>
              <w:ind w:left="106" w:right="-29"/>
              <w:rPr>
                <w:sz w:val="24"/>
              </w:rPr>
            </w:pPr>
            <w:r>
              <w:rPr>
                <w:spacing w:val="-3"/>
                <w:sz w:val="24"/>
              </w:rPr>
              <w:t>缴纳方式：</w:t>
            </w:r>
            <w:r>
              <w:rPr>
                <w:spacing w:val="-14"/>
                <w:sz w:val="24"/>
              </w:rPr>
              <w:t>1.</w:t>
            </w:r>
            <w:r>
              <w:rPr>
                <w:spacing w:val="-7"/>
                <w:sz w:val="24"/>
              </w:rPr>
              <w:t xml:space="preserve">点击“商城县公共资源交易信息网 </w:t>
            </w:r>
            <w:r>
              <w:rPr>
                <w:sz w:val="24"/>
              </w:rPr>
              <w:t xml:space="preserve">(www.scxzfw.com)” </w:t>
            </w:r>
            <w:r>
              <w:rPr>
                <w:spacing w:val="-8"/>
                <w:sz w:val="24"/>
              </w:rPr>
              <w:t>上的“登录”按钮进入“建设工程项目交易平台”，进入该平台后找</w:t>
            </w:r>
            <w:r>
              <w:rPr>
                <w:spacing w:val="-12"/>
                <w:sz w:val="24"/>
              </w:rPr>
              <w:t>到对应的项目公告，在公告下方点击招标文件“下载”跳转至缴费页</w:t>
            </w:r>
            <w:r>
              <w:rPr>
                <w:spacing w:val="-21"/>
                <w:sz w:val="24"/>
              </w:rPr>
              <w:t>面，进行技术服务费、招标文件费、保证金进行缴费。点击保证金“缴</w:t>
            </w:r>
            <w:r>
              <w:rPr>
                <w:spacing w:val="-25"/>
                <w:sz w:val="24"/>
              </w:rPr>
              <w:t>费”按钮后生成订单并提交，生成“保证金缴纳说明单”点击“打印”，</w:t>
            </w:r>
            <w:r>
              <w:rPr>
                <w:spacing w:val="-22"/>
                <w:sz w:val="24"/>
              </w:rPr>
              <w:t>投标保证金必须是基本账户缴纳，支付匹配成功后打印保证金收讫证</w:t>
            </w:r>
            <w:r>
              <w:rPr>
                <w:spacing w:val="-15"/>
                <w:sz w:val="24"/>
              </w:rPr>
              <w:t>明，并附于投标文件中 。具体操作方式从“商城县公共资源交易信息网”，“下载中心”-“投标人操作说明”中获取。缴纳时间：投</w:t>
            </w:r>
            <w:r>
              <w:rPr>
                <w:spacing w:val="-22"/>
                <w:sz w:val="24"/>
              </w:rPr>
              <w:t xml:space="preserve">标人必须在 </w:t>
            </w:r>
            <w:r>
              <w:rPr>
                <w:sz w:val="24"/>
              </w:rPr>
              <w:t>2022</w:t>
            </w:r>
            <w:r>
              <w:rPr>
                <w:spacing w:val="-38"/>
                <w:sz w:val="24"/>
              </w:rPr>
              <w:t xml:space="preserve"> 年 </w:t>
            </w:r>
            <w:r>
              <w:rPr>
                <w:sz w:val="24"/>
                <w:u w:val="single"/>
              </w:rPr>
              <w:t>12</w:t>
            </w:r>
            <w:r>
              <w:rPr>
                <w:spacing w:val="-40"/>
                <w:sz w:val="24"/>
              </w:rPr>
              <w:t xml:space="preserve"> 月 </w:t>
            </w:r>
            <w:r>
              <w:rPr>
                <w:sz w:val="24"/>
                <w:u w:val="single"/>
              </w:rPr>
              <w:t>02</w:t>
            </w:r>
            <w:r>
              <w:rPr>
                <w:spacing w:val="-38"/>
                <w:sz w:val="24"/>
              </w:rPr>
              <w:t xml:space="preserve"> 日 </w:t>
            </w:r>
            <w:r>
              <w:rPr>
                <w:sz w:val="24"/>
                <w:u w:val="single"/>
              </w:rPr>
              <w:t>14</w:t>
            </w:r>
            <w:r>
              <w:rPr>
                <w:spacing w:val="-39"/>
                <w:sz w:val="24"/>
              </w:rPr>
              <w:t xml:space="preserve"> 时 </w:t>
            </w:r>
            <w:r>
              <w:rPr>
                <w:sz w:val="24"/>
                <w:u w:val="single"/>
              </w:rPr>
              <w:t>30</w:t>
            </w:r>
            <w:r>
              <w:rPr>
                <w:spacing w:val="-29"/>
                <w:sz w:val="24"/>
              </w:rPr>
              <w:t xml:space="preserve"> 分</w:t>
            </w:r>
            <w:r>
              <w:rPr>
                <w:sz w:val="24"/>
              </w:rPr>
              <w:t>（北京时间）前将投标保证金从投标人基本账户汇至或转至“保证金缴纳说明单”中的账户。</w:t>
            </w:r>
          </w:p>
          <w:p>
            <w:pPr>
              <w:pStyle w:val="11"/>
              <w:spacing w:before="5" w:line="242" w:lineRule="auto"/>
              <w:ind w:left="106" w:right="97" w:firstLine="480"/>
              <w:rPr>
                <w:sz w:val="24"/>
              </w:rPr>
            </w:pPr>
            <w:r>
              <w:rPr>
                <w:sz w:val="24"/>
              </w:rPr>
              <w:t>办理退还投标保证金时只需提供退款通知函，系统方可进行退款。（不见面开标时则系统自动退还）</w:t>
            </w:r>
          </w:p>
          <w:p>
            <w:pPr>
              <w:pStyle w:val="11"/>
              <w:spacing w:before="3" w:line="242" w:lineRule="auto"/>
              <w:ind w:left="106" w:right="97"/>
              <w:jc w:val="both"/>
              <w:rPr>
                <w:sz w:val="24"/>
              </w:rPr>
            </w:pPr>
            <w:r>
              <w:rPr>
                <w:spacing w:val="-11"/>
                <w:sz w:val="24"/>
              </w:rPr>
              <w:t>特别提示：投标保证金收款将以投标人办理企业注册所填基本账户信</w:t>
            </w:r>
            <w:r>
              <w:rPr>
                <w:spacing w:val="-1"/>
                <w:sz w:val="24"/>
              </w:rPr>
              <w:t xml:space="preserve">息为准， 若投标人汇款账户与企业注册时的基本账户信息不相符， </w:t>
            </w:r>
            <w:r>
              <w:rPr>
                <w:spacing w:val="-10"/>
                <w:sz w:val="24"/>
              </w:rPr>
              <w:t>其汇款将匹配失败，由此造成投标保证金递交失败的责任由投标人自</w:t>
            </w:r>
          </w:p>
          <w:p>
            <w:pPr>
              <w:pStyle w:val="11"/>
              <w:spacing w:before="1" w:line="288" w:lineRule="exact"/>
              <w:ind w:left="106"/>
              <w:rPr>
                <w:sz w:val="24"/>
              </w:rPr>
            </w:pPr>
            <w:r>
              <w:rPr>
                <w:sz w:val="24"/>
              </w:rPr>
              <w:t>行承担。</w:t>
            </w:r>
          </w:p>
        </w:tc>
      </w:tr>
    </w:tbl>
    <w:p>
      <w:pPr>
        <w:spacing w:after="0" w:line="288" w:lineRule="exact"/>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1701"/>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trPr>
        <w:tc>
          <w:tcPr>
            <w:tcW w:w="998" w:type="dxa"/>
          </w:tcPr>
          <w:p>
            <w:pPr>
              <w:pStyle w:val="11"/>
              <w:rPr>
                <w:rFonts w:ascii="Times New Roman"/>
                <w:sz w:val="22"/>
              </w:rPr>
            </w:pPr>
          </w:p>
        </w:tc>
        <w:tc>
          <w:tcPr>
            <w:tcW w:w="1701" w:type="dxa"/>
          </w:tcPr>
          <w:p>
            <w:pPr>
              <w:pStyle w:val="11"/>
              <w:rPr>
                <w:rFonts w:ascii="Times New Roman"/>
                <w:sz w:val="22"/>
              </w:rPr>
            </w:pPr>
          </w:p>
        </w:tc>
        <w:tc>
          <w:tcPr>
            <w:tcW w:w="7332" w:type="dxa"/>
          </w:tcPr>
          <w:p>
            <w:pPr>
              <w:pStyle w:val="11"/>
              <w:spacing w:before="2" w:line="242" w:lineRule="auto"/>
              <w:ind w:left="106" w:right="97"/>
              <w:jc w:val="both"/>
              <w:rPr>
                <w:sz w:val="24"/>
              </w:rPr>
            </w:pPr>
            <w:r>
              <w:rPr>
                <w:sz w:val="24"/>
              </w:rPr>
              <w:t>2</w:t>
            </w:r>
            <w:r>
              <w:rPr>
                <w:spacing w:val="-1"/>
                <w:sz w:val="24"/>
              </w:rPr>
              <w:t>、投标保证金采用电子保函方式缴纳形式，投标人需登录商城县建</w:t>
            </w:r>
            <w:r>
              <w:rPr>
                <w:spacing w:val="-10"/>
                <w:sz w:val="24"/>
              </w:rPr>
              <w:t>设工程系统，点击待缴纳的保证金待办，或者点击业务管理→费用管理，支付方式选择电子保函，，下单后跳转到电子保函平台，完成缴纳；制作投标文件时须提供保函书及保函合同、担保机构营业执照的</w:t>
            </w:r>
            <w:r>
              <w:rPr>
                <w:sz w:val="24"/>
              </w:rPr>
              <w:t>扫描件。</w:t>
            </w:r>
          </w:p>
          <w:p>
            <w:pPr>
              <w:pStyle w:val="11"/>
              <w:spacing w:before="2" w:line="242" w:lineRule="auto"/>
              <w:ind w:left="106" w:right="97"/>
              <w:jc w:val="both"/>
              <w:rPr>
                <w:sz w:val="24"/>
              </w:rPr>
            </w:pPr>
            <w:r>
              <w:rPr>
                <w:sz w:val="24"/>
              </w:rPr>
              <w:t>3、投标人如为信誉良好的中小微企业可免于缴纳投标保证金，须提供投标保证金承诺函（具体要求详见第八章投标文件格式投标保证金）</w:t>
            </w:r>
          </w:p>
          <w:p>
            <w:pPr>
              <w:pStyle w:val="11"/>
              <w:spacing w:before="2"/>
              <w:ind w:left="106"/>
              <w:rPr>
                <w:sz w:val="24"/>
              </w:rPr>
            </w:pPr>
            <w:r>
              <w:rPr>
                <w:sz w:val="24"/>
              </w:rPr>
              <w:t>投标人可以根据自己实际财务状况自主选择以上方式的其中一种方</w:t>
            </w:r>
          </w:p>
          <w:p>
            <w:pPr>
              <w:pStyle w:val="11"/>
              <w:spacing w:before="5" w:line="290" w:lineRule="exact"/>
              <w:ind w:left="106"/>
              <w:rPr>
                <w:sz w:val="24"/>
              </w:rPr>
            </w:pPr>
            <w:r>
              <w:rPr>
                <w:sz w:val="24"/>
              </w:rPr>
              <w:t>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998" w:type="dxa"/>
          </w:tcPr>
          <w:p>
            <w:pPr>
              <w:pStyle w:val="11"/>
              <w:rPr>
                <w:rFonts w:ascii="Times New Roman"/>
                <w:sz w:val="27"/>
              </w:rPr>
            </w:pPr>
          </w:p>
          <w:p>
            <w:pPr>
              <w:pStyle w:val="11"/>
              <w:spacing w:before="1"/>
              <w:ind w:left="108"/>
              <w:rPr>
                <w:sz w:val="24"/>
              </w:rPr>
            </w:pPr>
            <w:r>
              <w:rPr>
                <w:sz w:val="24"/>
              </w:rPr>
              <w:t>3.4.3</w:t>
            </w:r>
          </w:p>
        </w:tc>
        <w:tc>
          <w:tcPr>
            <w:tcW w:w="1701" w:type="dxa"/>
          </w:tcPr>
          <w:p>
            <w:pPr>
              <w:pStyle w:val="11"/>
              <w:spacing w:before="1" w:line="242" w:lineRule="auto"/>
              <w:ind w:left="108" w:right="94"/>
              <w:rPr>
                <w:sz w:val="24"/>
              </w:rPr>
            </w:pPr>
            <w:r>
              <w:rPr>
                <w:sz w:val="24"/>
              </w:rPr>
              <w:t>其他可以不予退还投标保证</w:t>
            </w:r>
          </w:p>
          <w:p>
            <w:pPr>
              <w:pStyle w:val="11"/>
              <w:spacing w:before="1" w:line="290" w:lineRule="exact"/>
              <w:ind w:left="108"/>
              <w:rPr>
                <w:sz w:val="24"/>
              </w:rPr>
            </w:pPr>
            <w:r>
              <w:rPr>
                <w:sz w:val="24"/>
              </w:rPr>
              <w:t>金的情形</w:t>
            </w:r>
          </w:p>
        </w:tc>
        <w:tc>
          <w:tcPr>
            <w:tcW w:w="7332" w:type="dxa"/>
          </w:tcPr>
          <w:p>
            <w:pPr>
              <w:pStyle w:val="11"/>
              <w:rPr>
                <w:rFonts w:ascii="Times New Roman"/>
                <w:sz w:val="27"/>
              </w:rPr>
            </w:pPr>
          </w:p>
          <w:p>
            <w:pPr>
              <w:pStyle w:val="11"/>
              <w:spacing w:before="1"/>
              <w:ind w:left="106"/>
              <w:rPr>
                <w:sz w:val="24"/>
              </w:rPr>
            </w:pPr>
            <w:r>
              <w:rPr>
                <w:sz w:val="24"/>
              </w:rPr>
              <w:t>见投标人须知正文规定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3.5</w:t>
            </w:r>
          </w:p>
        </w:tc>
        <w:tc>
          <w:tcPr>
            <w:tcW w:w="1701" w:type="dxa"/>
          </w:tcPr>
          <w:p>
            <w:pPr>
              <w:pStyle w:val="11"/>
              <w:spacing w:before="2"/>
              <w:ind w:left="108"/>
              <w:rPr>
                <w:sz w:val="24"/>
              </w:rPr>
            </w:pPr>
            <w:r>
              <w:rPr>
                <w:sz w:val="24"/>
              </w:rPr>
              <w:t>资格审查资料</w:t>
            </w:r>
          </w:p>
          <w:p>
            <w:pPr>
              <w:pStyle w:val="11"/>
              <w:spacing w:before="4" w:line="289" w:lineRule="exact"/>
              <w:ind w:left="108"/>
              <w:rPr>
                <w:sz w:val="24"/>
              </w:rPr>
            </w:pPr>
            <w:r>
              <w:rPr>
                <w:sz w:val="24"/>
              </w:rPr>
              <w:t>的特殊要求</w:t>
            </w:r>
          </w:p>
        </w:tc>
        <w:tc>
          <w:tcPr>
            <w:tcW w:w="7332" w:type="dxa"/>
          </w:tcPr>
          <w:p>
            <w:pPr>
              <w:pStyle w:val="11"/>
              <w:spacing w:before="158"/>
              <w:ind w:left="106"/>
              <w:rPr>
                <w:sz w:val="24"/>
              </w:rPr>
            </w:pPr>
            <w:r>
              <w:rPr>
                <w:sz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3.5.2</w:t>
            </w:r>
          </w:p>
        </w:tc>
        <w:tc>
          <w:tcPr>
            <w:tcW w:w="1701" w:type="dxa"/>
          </w:tcPr>
          <w:p>
            <w:pPr>
              <w:pStyle w:val="11"/>
              <w:ind w:left="108"/>
              <w:rPr>
                <w:sz w:val="24"/>
              </w:rPr>
            </w:pPr>
            <w:r>
              <w:rPr>
                <w:sz w:val="24"/>
              </w:rPr>
              <w:t>近年财务状况</w:t>
            </w:r>
          </w:p>
          <w:p>
            <w:pPr>
              <w:pStyle w:val="11"/>
              <w:spacing w:before="4" w:line="290" w:lineRule="exact"/>
              <w:ind w:left="108"/>
              <w:rPr>
                <w:sz w:val="24"/>
              </w:rPr>
            </w:pPr>
            <w:r>
              <w:rPr>
                <w:sz w:val="24"/>
              </w:rPr>
              <w:t>的年份要求</w:t>
            </w:r>
          </w:p>
        </w:tc>
        <w:tc>
          <w:tcPr>
            <w:tcW w:w="7332" w:type="dxa"/>
          </w:tcPr>
          <w:p>
            <w:pPr>
              <w:pStyle w:val="11"/>
              <w:spacing w:before="156"/>
              <w:ind w:left="106"/>
              <w:rPr>
                <w:sz w:val="24"/>
              </w:rPr>
            </w:pPr>
            <w:r>
              <w:rPr>
                <w:sz w:val="24"/>
              </w:rPr>
              <w:t>2019 年度、2020 年度、2021 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spacing w:before="1"/>
              <w:ind w:left="108"/>
              <w:rPr>
                <w:sz w:val="24"/>
              </w:rPr>
            </w:pPr>
            <w:r>
              <w:rPr>
                <w:sz w:val="24"/>
              </w:rPr>
              <w:t>3.5.3</w:t>
            </w:r>
          </w:p>
        </w:tc>
        <w:tc>
          <w:tcPr>
            <w:tcW w:w="1701" w:type="dxa"/>
          </w:tcPr>
          <w:p>
            <w:pPr>
              <w:pStyle w:val="11"/>
              <w:spacing w:before="1"/>
              <w:ind w:left="108"/>
              <w:rPr>
                <w:sz w:val="24"/>
              </w:rPr>
            </w:pPr>
            <w:r>
              <w:rPr>
                <w:sz w:val="24"/>
              </w:rPr>
              <w:t>近年完成的类</w:t>
            </w:r>
          </w:p>
          <w:p>
            <w:pPr>
              <w:pStyle w:val="11"/>
              <w:spacing w:before="2" w:line="310" w:lineRule="atLeast"/>
              <w:ind w:left="108" w:right="94"/>
              <w:rPr>
                <w:sz w:val="24"/>
              </w:rPr>
            </w:pPr>
            <w:r>
              <w:rPr>
                <w:sz w:val="24"/>
              </w:rPr>
              <w:t>似项目情况的时间要求</w:t>
            </w:r>
          </w:p>
        </w:tc>
        <w:tc>
          <w:tcPr>
            <w:tcW w:w="7332" w:type="dxa"/>
          </w:tcPr>
          <w:p>
            <w:pPr>
              <w:pStyle w:val="11"/>
              <w:rPr>
                <w:rFonts w:ascii="Times New Roman"/>
                <w:sz w:val="27"/>
              </w:rPr>
            </w:pPr>
          </w:p>
          <w:p>
            <w:pPr>
              <w:pStyle w:val="11"/>
              <w:spacing w:before="1"/>
              <w:ind w:left="106"/>
              <w:rPr>
                <w:sz w:val="24"/>
              </w:rPr>
            </w:pPr>
            <w:r>
              <w:rPr>
                <w:sz w:val="24"/>
              </w:rPr>
              <w:t>自 2019 年 6 月 1 日以来。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3.6.1</w:t>
            </w:r>
          </w:p>
        </w:tc>
        <w:tc>
          <w:tcPr>
            <w:tcW w:w="1701" w:type="dxa"/>
          </w:tcPr>
          <w:p>
            <w:pPr>
              <w:pStyle w:val="11"/>
              <w:spacing w:before="1"/>
              <w:ind w:left="108"/>
              <w:rPr>
                <w:sz w:val="24"/>
              </w:rPr>
            </w:pPr>
            <w:r>
              <w:rPr>
                <w:sz w:val="24"/>
              </w:rPr>
              <w:t>是否允许递交</w:t>
            </w:r>
          </w:p>
          <w:p>
            <w:pPr>
              <w:pStyle w:val="11"/>
              <w:spacing w:before="4" w:line="290" w:lineRule="exact"/>
              <w:ind w:left="108"/>
              <w:rPr>
                <w:sz w:val="24"/>
              </w:rPr>
            </w:pPr>
            <w:r>
              <w:rPr>
                <w:sz w:val="24"/>
              </w:rPr>
              <w:t>备选投标方案</w:t>
            </w:r>
          </w:p>
        </w:tc>
        <w:tc>
          <w:tcPr>
            <w:tcW w:w="7332" w:type="dxa"/>
          </w:tcPr>
          <w:p>
            <w:pPr>
              <w:pStyle w:val="11"/>
              <w:numPr>
                <w:ilvl w:val="0"/>
                <w:numId w:val="5"/>
              </w:numPr>
              <w:tabs>
                <w:tab w:val="left" w:pos="348"/>
              </w:tabs>
              <w:spacing w:before="157" w:after="0" w:line="240" w:lineRule="auto"/>
              <w:ind w:left="347" w:right="0" w:hanging="242"/>
              <w:jc w:val="left"/>
              <w:rPr>
                <w:sz w:val="24"/>
              </w:rPr>
            </w:pPr>
            <w:r>
              <w:rPr>
                <w:sz w:val="24"/>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6" w:hRule="atLeast"/>
        </w:trPr>
        <w:tc>
          <w:tcPr>
            <w:tcW w:w="998" w:type="dxa"/>
          </w:tcPr>
          <w:p>
            <w:pPr>
              <w:pStyle w:val="11"/>
              <w:rPr>
                <w:rFonts w:ascii="Times New Roman"/>
                <w:sz w:val="24"/>
              </w:rPr>
            </w:pPr>
          </w:p>
          <w:p>
            <w:pPr>
              <w:pStyle w:val="11"/>
              <w:spacing w:before="2"/>
              <w:rPr>
                <w:rFonts w:ascii="Times New Roman"/>
                <w:sz w:val="30"/>
              </w:rPr>
            </w:pPr>
          </w:p>
          <w:p>
            <w:pPr>
              <w:pStyle w:val="11"/>
              <w:ind w:left="108"/>
              <w:rPr>
                <w:sz w:val="24"/>
              </w:rPr>
            </w:pPr>
            <w:r>
              <w:rPr>
                <w:sz w:val="24"/>
              </w:rPr>
              <w:t>3.7.4</w:t>
            </w:r>
          </w:p>
        </w:tc>
        <w:tc>
          <w:tcPr>
            <w:tcW w:w="1701" w:type="dxa"/>
          </w:tcPr>
          <w:p>
            <w:pPr>
              <w:pStyle w:val="11"/>
              <w:rPr>
                <w:rFonts w:ascii="Times New Roman"/>
                <w:sz w:val="24"/>
              </w:rPr>
            </w:pPr>
          </w:p>
          <w:p>
            <w:pPr>
              <w:pStyle w:val="11"/>
              <w:spacing w:before="191" w:line="242" w:lineRule="auto"/>
              <w:ind w:left="108" w:right="94"/>
              <w:rPr>
                <w:sz w:val="24"/>
              </w:rPr>
            </w:pPr>
            <w:r>
              <w:rPr>
                <w:sz w:val="24"/>
              </w:rPr>
              <w:t>投标文件份数及其他要求</w:t>
            </w:r>
          </w:p>
        </w:tc>
        <w:tc>
          <w:tcPr>
            <w:tcW w:w="7332" w:type="dxa"/>
          </w:tcPr>
          <w:p>
            <w:pPr>
              <w:pStyle w:val="11"/>
              <w:spacing w:before="1"/>
              <w:ind w:left="106"/>
              <w:rPr>
                <w:sz w:val="24"/>
              </w:rPr>
            </w:pPr>
            <w:r>
              <w:rPr>
                <w:sz w:val="24"/>
              </w:rPr>
              <w:t>投标文件副本份数：本次招标不要求提供纸质版投标文件</w:t>
            </w:r>
          </w:p>
          <w:p>
            <w:pPr>
              <w:pStyle w:val="11"/>
              <w:spacing w:before="2" w:line="242" w:lineRule="auto"/>
              <w:ind w:left="106" w:right="493"/>
              <w:rPr>
                <w:sz w:val="24"/>
              </w:rPr>
            </w:pPr>
            <w:r>
              <w:rPr>
                <w:spacing w:val="-3"/>
                <w:sz w:val="24"/>
              </w:rPr>
              <w:t xml:space="preserve">是否要求提交电子版文件：本次招标不需要提供电子 </w:t>
            </w:r>
            <w:r>
              <w:rPr>
                <w:sz w:val="24"/>
              </w:rPr>
              <w:t>U</w:t>
            </w:r>
            <w:r>
              <w:rPr>
                <w:spacing w:val="-16"/>
                <w:sz w:val="24"/>
              </w:rPr>
              <w:t xml:space="preserve"> 盘或光盘</w:t>
            </w:r>
            <w:r>
              <w:rPr>
                <w:sz w:val="24"/>
              </w:rPr>
              <w:t>其他要求：</w:t>
            </w:r>
          </w:p>
          <w:p>
            <w:pPr>
              <w:pStyle w:val="11"/>
              <w:spacing w:before="3"/>
              <w:ind w:left="106"/>
              <w:rPr>
                <w:sz w:val="24"/>
              </w:rPr>
            </w:pPr>
            <w:r>
              <w:rPr>
                <w:sz w:val="24"/>
              </w:rPr>
              <w:t>1.加密的电子投标文件壹份（*.已加密投标文件格式，在会员系统指</w:t>
            </w:r>
          </w:p>
          <w:p>
            <w:pPr>
              <w:pStyle w:val="11"/>
              <w:spacing w:before="5" w:line="289" w:lineRule="exact"/>
              <w:ind w:left="106"/>
              <w:rPr>
                <w:sz w:val="24"/>
              </w:rPr>
            </w:pPr>
            <w:r>
              <w:rPr>
                <w:sz w:val="24"/>
              </w:rPr>
              <w:t>定位置上传）。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4.2.3</w:t>
            </w:r>
          </w:p>
        </w:tc>
        <w:tc>
          <w:tcPr>
            <w:tcW w:w="1701" w:type="dxa"/>
          </w:tcPr>
          <w:p>
            <w:pPr>
              <w:pStyle w:val="11"/>
              <w:ind w:left="108"/>
              <w:rPr>
                <w:sz w:val="24"/>
              </w:rPr>
            </w:pPr>
            <w:r>
              <w:rPr>
                <w:sz w:val="24"/>
              </w:rPr>
              <w:t>是否退还投标</w:t>
            </w:r>
          </w:p>
          <w:p>
            <w:pPr>
              <w:pStyle w:val="11"/>
              <w:spacing w:before="5" w:line="290" w:lineRule="exact"/>
              <w:ind w:left="108"/>
              <w:rPr>
                <w:sz w:val="24"/>
              </w:rPr>
            </w:pPr>
            <w:r>
              <w:rPr>
                <w:sz w:val="24"/>
              </w:rPr>
              <w:t>文件</w:t>
            </w:r>
          </w:p>
        </w:tc>
        <w:tc>
          <w:tcPr>
            <w:tcW w:w="7332" w:type="dxa"/>
          </w:tcPr>
          <w:p>
            <w:pPr>
              <w:pStyle w:val="11"/>
              <w:spacing w:before="156"/>
              <w:ind w:left="106"/>
              <w:rPr>
                <w:sz w:val="24"/>
              </w:rPr>
            </w:pP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8"/>
              <w:ind w:left="108"/>
              <w:rPr>
                <w:sz w:val="24"/>
              </w:rPr>
            </w:pPr>
            <w:r>
              <w:rPr>
                <w:sz w:val="24"/>
              </w:rPr>
              <w:t>5.1</w:t>
            </w:r>
          </w:p>
        </w:tc>
        <w:tc>
          <w:tcPr>
            <w:tcW w:w="1701" w:type="dxa"/>
          </w:tcPr>
          <w:p>
            <w:pPr>
              <w:pStyle w:val="11"/>
              <w:spacing w:before="2"/>
              <w:ind w:left="108"/>
              <w:rPr>
                <w:sz w:val="24"/>
              </w:rPr>
            </w:pPr>
            <w:r>
              <w:rPr>
                <w:sz w:val="24"/>
              </w:rPr>
              <w:t>开标时间和地</w:t>
            </w:r>
          </w:p>
          <w:p>
            <w:pPr>
              <w:pStyle w:val="11"/>
              <w:spacing w:before="4" w:line="289" w:lineRule="exact"/>
              <w:ind w:left="108"/>
              <w:rPr>
                <w:sz w:val="24"/>
              </w:rPr>
            </w:pPr>
            <w:r>
              <w:rPr>
                <w:sz w:val="24"/>
              </w:rPr>
              <w:t>点</w:t>
            </w:r>
          </w:p>
        </w:tc>
        <w:tc>
          <w:tcPr>
            <w:tcW w:w="7332" w:type="dxa"/>
          </w:tcPr>
          <w:p>
            <w:pPr>
              <w:pStyle w:val="11"/>
              <w:spacing w:before="2"/>
              <w:ind w:left="106"/>
              <w:rPr>
                <w:sz w:val="24"/>
              </w:rPr>
            </w:pPr>
            <w:r>
              <w:rPr>
                <w:sz w:val="24"/>
              </w:rPr>
              <w:t>开标时间：同投标截止时间。</w:t>
            </w:r>
          </w:p>
          <w:p>
            <w:pPr>
              <w:pStyle w:val="11"/>
              <w:spacing w:before="4" w:line="289" w:lineRule="exact"/>
              <w:ind w:left="106"/>
              <w:rPr>
                <w:sz w:val="24"/>
              </w:rPr>
            </w:pPr>
            <w:r>
              <w:rPr>
                <w:sz w:val="24"/>
              </w:rPr>
              <w:t>开标地点：商城县公共资源交易中心二楼开标厅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2"/>
              <w:ind w:left="108"/>
              <w:rPr>
                <w:sz w:val="24"/>
              </w:rPr>
            </w:pPr>
            <w:r>
              <w:rPr>
                <w:sz w:val="24"/>
              </w:rPr>
              <w:t>5.2.1</w:t>
            </w:r>
          </w:p>
        </w:tc>
        <w:tc>
          <w:tcPr>
            <w:tcW w:w="1701" w:type="dxa"/>
          </w:tcPr>
          <w:p>
            <w:pPr>
              <w:pStyle w:val="11"/>
              <w:spacing w:before="72"/>
              <w:ind w:left="108"/>
              <w:rPr>
                <w:sz w:val="24"/>
              </w:rPr>
            </w:pPr>
            <w:r>
              <w:rPr>
                <w:sz w:val="24"/>
              </w:rPr>
              <w:t>开标程序</w:t>
            </w:r>
          </w:p>
        </w:tc>
        <w:tc>
          <w:tcPr>
            <w:tcW w:w="7332" w:type="dxa"/>
          </w:tcPr>
          <w:p>
            <w:pPr>
              <w:pStyle w:val="11"/>
              <w:spacing w:before="72"/>
              <w:ind w:left="106"/>
              <w:rPr>
                <w:sz w:val="24"/>
              </w:rPr>
            </w:pPr>
            <w:r>
              <w:rPr>
                <w:sz w:val="24"/>
              </w:rPr>
              <w:t>见招标文件开标程序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spacing w:before="1"/>
              <w:ind w:left="108"/>
              <w:rPr>
                <w:sz w:val="24"/>
              </w:rPr>
            </w:pPr>
            <w:r>
              <w:rPr>
                <w:sz w:val="24"/>
              </w:rPr>
              <w:t>6.1.1</w:t>
            </w:r>
          </w:p>
        </w:tc>
        <w:tc>
          <w:tcPr>
            <w:tcW w:w="1701" w:type="dxa"/>
          </w:tcPr>
          <w:p>
            <w:pPr>
              <w:pStyle w:val="11"/>
              <w:spacing w:before="155" w:line="242" w:lineRule="auto"/>
              <w:ind w:left="108" w:right="94"/>
              <w:rPr>
                <w:sz w:val="24"/>
              </w:rPr>
            </w:pPr>
            <w:r>
              <w:rPr>
                <w:sz w:val="24"/>
              </w:rPr>
              <w:t>评标委员会的组建</w:t>
            </w:r>
          </w:p>
        </w:tc>
        <w:tc>
          <w:tcPr>
            <w:tcW w:w="7332" w:type="dxa"/>
          </w:tcPr>
          <w:p>
            <w:pPr>
              <w:pStyle w:val="11"/>
              <w:spacing w:before="1" w:line="242" w:lineRule="auto"/>
              <w:ind w:left="106" w:right="97"/>
              <w:rPr>
                <w:sz w:val="24"/>
              </w:rPr>
            </w:pPr>
            <w:r>
              <w:rPr>
                <w:spacing w:val="-1"/>
                <w:sz w:val="24"/>
              </w:rPr>
              <w:t>评标委员会构成：</w:t>
            </w:r>
            <w:r>
              <w:rPr>
                <w:spacing w:val="-3"/>
                <w:sz w:val="24"/>
              </w:rPr>
              <w:t>5</w:t>
            </w:r>
            <w:r>
              <w:rPr>
                <w:spacing w:val="-14"/>
                <w:sz w:val="24"/>
              </w:rPr>
              <w:t xml:space="preserve"> 人，其中招标人代表 </w:t>
            </w:r>
            <w:r>
              <w:rPr>
                <w:sz w:val="24"/>
              </w:rPr>
              <w:t>1</w:t>
            </w:r>
            <w:r>
              <w:rPr>
                <w:spacing w:val="-10"/>
                <w:sz w:val="24"/>
              </w:rPr>
              <w:t xml:space="preserve"> 人，技术类、经济类评委</w:t>
            </w:r>
            <w:r>
              <w:rPr>
                <w:sz w:val="24"/>
              </w:rPr>
              <w:t>4</w:t>
            </w:r>
            <w:r>
              <w:rPr>
                <w:spacing w:val="-20"/>
                <w:sz w:val="24"/>
              </w:rPr>
              <w:t xml:space="preserve"> 人；</w:t>
            </w:r>
          </w:p>
          <w:p>
            <w:pPr>
              <w:pStyle w:val="11"/>
              <w:spacing w:before="1" w:line="291" w:lineRule="exact"/>
              <w:ind w:left="106"/>
              <w:rPr>
                <w:sz w:val="24"/>
              </w:rPr>
            </w:pPr>
            <w:r>
              <w:rPr>
                <w:sz w:val="24"/>
              </w:rPr>
              <w:t>评标专家确定方式：依法从河南省综合评标专家库中随机抽取。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98" w:type="dxa"/>
          </w:tcPr>
          <w:p>
            <w:pPr>
              <w:pStyle w:val="11"/>
              <w:rPr>
                <w:rFonts w:ascii="Times New Roman"/>
                <w:sz w:val="27"/>
              </w:rPr>
            </w:pPr>
          </w:p>
          <w:p>
            <w:pPr>
              <w:pStyle w:val="11"/>
              <w:ind w:left="108"/>
              <w:rPr>
                <w:sz w:val="24"/>
              </w:rPr>
            </w:pPr>
            <w:r>
              <w:rPr>
                <w:sz w:val="24"/>
              </w:rPr>
              <w:t>6.3.2</w:t>
            </w:r>
          </w:p>
        </w:tc>
        <w:tc>
          <w:tcPr>
            <w:tcW w:w="1701" w:type="dxa"/>
          </w:tcPr>
          <w:p>
            <w:pPr>
              <w:pStyle w:val="11"/>
              <w:spacing w:before="1"/>
              <w:ind w:left="108"/>
              <w:rPr>
                <w:sz w:val="24"/>
              </w:rPr>
            </w:pPr>
            <w:r>
              <w:rPr>
                <w:sz w:val="24"/>
              </w:rPr>
              <w:t>评标委员会推</w:t>
            </w:r>
          </w:p>
          <w:p>
            <w:pPr>
              <w:pStyle w:val="11"/>
              <w:spacing w:before="2" w:line="310" w:lineRule="atLeast"/>
              <w:ind w:left="108" w:right="94"/>
              <w:rPr>
                <w:sz w:val="24"/>
              </w:rPr>
            </w:pPr>
            <w:r>
              <w:rPr>
                <w:sz w:val="24"/>
              </w:rPr>
              <w:t>荐中标候选人的人数</w:t>
            </w:r>
          </w:p>
        </w:tc>
        <w:tc>
          <w:tcPr>
            <w:tcW w:w="7332" w:type="dxa"/>
          </w:tcPr>
          <w:p>
            <w:pPr>
              <w:pStyle w:val="11"/>
              <w:rPr>
                <w:rFonts w:ascii="Times New Roman"/>
                <w:sz w:val="27"/>
              </w:rPr>
            </w:pPr>
          </w:p>
          <w:p>
            <w:pPr>
              <w:pStyle w:val="11"/>
              <w:ind w:left="106"/>
              <w:rPr>
                <w:sz w:val="24"/>
              </w:rPr>
            </w:pPr>
            <w:r>
              <w:rPr>
                <w:sz w:val="24"/>
              </w:rPr>
              <w:t>1-3 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7"/>
              <w:ind w:left="108"/>
              <w:rPr>
                <w:sz w:val="24"/>
              </w:rPr>
            </w:pPr>
            <w:r>
              <w:rPr>
                <w:sz w:val="24"/>
              </w:rPr>
              <w:t>7.1</w:t>
            </w:r>
          </w:p>
        </w:tc>
        <w:tc>
          <w:tcPr>
            <w:tcW w:w="1701" w:type="dxa"/>
          </w:tcPr>
          <w:p>
            <w:pPr>
              <w:pStyle w:val="11"/>
              <w:spacing w:before="1"/>
              <w:ind w:left="108"/>
              <w:rPr>
                <w:sz w:val="24"/>
              </w:rPr>
            </w:pPr>
            <w:r>
              <w:rPr>
                <w:sz w:val="24"/>
              </w:rPr>
              <w:t>中标候选人公</w:t>
            </w:r>
          </w:p>
          <w:p>
            <w:pPr>
              <w:pStyle w:val="11"/>
              <w:spacing w:before="4" w:line="290" w:lineRule="exact"/>
              <w:ind w:left="108"/>
              <w:rPr>
                <w:sz w:val="24"/>
              </w:rPr>
            </w:pPr>
            <w:r>
              <w:rPr>
                <w:sz w:val="24"/>
              </w:rPr>
              <w:t>示媒介及期限</w:t>
            </w:r>
          </w:p>
        </w:tc>
        <w:tc>
          <w:tcPr>
            <w:tcW w:w="7332" w:type="dxa"/>
          </w:tcPr>
          <w:p>
            <w:pPr>
              <w:pStyle w:val="11"/>
              <w:spacing w:before="1"/>
              <w:ind w:left="106"/>
              <w:rPr>
                <w:sz w:val="24"/>
              </w:rPr>
            </w:pPr>
            <w:r>
              <w:rPr>
                <w:sz w:val="24"/>
              </w:rPr>
              <w:t>公示媒介：同招标公告发布媒介</w:t>
            </w:r>
          </w:p>
          <w:p>
            <w:pPr>
              <w:pStyle w:val="11"/>
              <w:spacing w:before="4" w:line="290" w:lineRule="exact"/>
              <w:ind w:left="106"/>
              <w:rPr>
                <w:sz w:val="24"/>
              </w:rPr>
            </w:pPr>
            <w:r>
              <w:rPr>
                <w:sz w:val="24"/>
              </w:rPr>
              <w:t>公示期限：3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98" w:type="dxa"/>
          </w:tcPr>
          <w:p>
            <w:pPr>
              <w:pStyle w:val="11"/>
              <w:spacing w:before="155"/>
              <w:ind w:left="108"/>
              <w:rPr>
                <w:sz w:val="24"/>
              </w:rPr>
            </w:pPr>
            <w:r>
              <w:rPr>
                <w:sz w:val="24"/>
              </w:rPr>
              <w:t>7.4</w:t>
            </w:r>
          </w:p>
        </w:tc>
        <w:tc>
          <w:tcPr>
            <w:tcW w:w="1701" w:type="dxa"/>
          </w:tcPr>
          <w:p>
            <w:pPr>
              <w:pStyle w:val="11"/>
              <w:spacing w:before="2"/>
              <w:ind w:left="108"/>
              <w:rPr>
                <w:sz w:val="24"/>
              </w:rPr>
            </w:pPr>
            <w:r>
              <w:rPr>
                <w:spacing w:val="6"/>
                <w:sz w:val="24"/>
              </w:rPr>
              <w:t>是否授权评标</w:t>
            </w:r>
          </w:p>
          <w:p>
            <w:pPr>
              <w:pStyle w:val="11"/>
              <w:spacing w:before="2" w:line="289" w:lineRule="exact"/>
              <w:ind w:left="108"/>
              <w:rPr>
                <w:sz w:val="24"/>
              </w:rPr>
            </w:pPr>
            <w:r>
              <w:rPr>
                <w:spacing w:val="6"/>
                <w:sz w:val="24"/>
              </w:rPr>
              <w:t>委员会确定中</w:t>
            </w:r>
          </w:p>
        </w:tc>
        <w:tc>
          <w:tcPr>
            <w:tcW w:w="7332" w:type="dxa"/>
          </w:tcPr>
          <w:p>
            <w:pPr>
              <w:pStyle w:val="11"/>
              <w:spacing w:before="155"/>
              <w:ind w:left="106"/>
              <w:rPr>
                <w:sz w:val="24"/>
              </w:rPr>
            </w:pPr>
            <w:r>
              <w:rPr>
                <w:sz w:val="24"/>
              </w:rPr>
              <w:t>否</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bookmarkStart w:id="4" w:name="附录1资格审查条件(资质最低要求)"/>
      <w:bookmarkEnd w:id="4"/>
    </w:p>
    <w:tbl>
      <w:tblPr>
        <w:tblStyle w:val="7"/>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8"/>
        <w:gridCol w:w="277"/>
        <w:gridCol w:w="1424"/>
        <w:gridCol w:w="7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98" w:type="dxa"/>
          </w:tcPr>
          <w:p>
            <w:pPr>
              <w:pStyle w:val="11"/>
              <w:spacing w:before="73"/>
              <w:ind w:left="136"/>
              <w:rPr>
                <w:b/>
                <w:sz w:val="24"/>
              </w:rPr>
            </w:pPr>
            <w:r>
              <w:rPr>
                <w:b/>
                <w:sz w:val="24"/>
              </w:rPr>
              <w:t>条款号</w:t>
            </w:r>
          </w:p>
        </w:tc>
        <w:tc>
          <w:tcPr>
            <w:tcW w:w="1701" w:type="dxa"/>
            <w:gridSpan w:val="2"/>
          </w:tcPr>
          <w:p>
            <w:pPr>
              <w:pStyle w:val="11"/>
              <w:spacing w:before="73"/>
              <w:ind w:left="187"/>
              <w:rPr>
                <w:b/>
                <w:sz w:val="24"/>
              </w:rPr>
            </w:pPr>
            <w:r>
              <w:rPr>
                <w:b/>
                <w:sz w:val="24"/>
              </w:rPr>
              <w:t>条 款 名 称</w:t>
            </w:r>
          </w:p>
        </w:tc>
        <w:tc>
          <w:tcPr>
            <w:tcW w:w="7332" w:type="dxa"/>
          </w:tcPr>
          <w:p>
            <w:pPr>
              <w:pStyle w:val="11"/>
              <w:spacing w:before="73"/>
              <w:ind w:left="2981" w:right="2974"/>
              <w:jc w:val="center"/>
              <w:rPr>
                <w:b/>
                <w:sz w:val="24"/>
              </w:rPr>
            </w:pPr>
            <w:r>
              <w:rPr>
                <w:b/>
                <w:sz w:val="24"/>
              </w:rPr>
              <w:t>编 列 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98" w:type="dxa"/>
          </w:tcPr>
          <w:p>
            <w:pPr>
              <w:pStyle w:val="11"/>
              <w:rPr>
                <w:rFonts w:ascii="Times New Roman"/>
                <w:sz w:val="22"/>
              </w:rPr>
            </w:pPr>
          </w:p>
        </w:tc>
        <w:tc>
          <w:tcPr>
            <w:tcW w:w="1701" w:type="dxa"/>
            <w:gridSpan w:val="2"/>
          </w:tcPr>
          <w:p>
            <w:pPr>
              <w:pStyle w:val="11"/>
              <w:spacing w:before="2"/>
              <w:ind w:left="108"/>
              <w:rPr>
                <w:sz w:val="24"/>
              </w:rPr>
            </w:pPr>
            <w:r>
              <w:rPr>
                <w:sz w:val="24"/>
              </w:rPr>
              <w:t>标人</w:t>
            </w:r>
          </w:p>
        </w:tc>
        <w:tc>
          <w:tcPr>
            <w:tcW w:w="7332" w:type="dxa"/>
          </w:tcPr>
          <w:p>
            <w:pPr>
              <w:pStyle w:val="11"/>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998" w:type="dxa"/>
          </w:tcPr>
          <w:p>
            <w:pPr>
              <w:pStyle w:val="11"/>
              <w:rPr>
                <w:rFonts w:ascii="Times New Roman"/>
                <w:sz w:val="27"/>
              </w:rPr>
            </w:pPr>
          </w:p>
          <w:p>
            <w:pPr>
              <w:pStyle w:val="11"/>
              <w:ind w:left="108"/>
              <w:rPr>
                <w:sz w:val="24"/>
              </w:rPr>
            </w:pPr>
            <w:r>
              <w:rPr>
                <w:sz w:val="24"/>
              </w:rPr>
              <w:t>7.5</w:t>
            </w:r>
          </w:p>
        </w:tc>
        <w:tc>
          <w:tcPr>
            <w:tcW w:w="1701" w:type="dxa"/>
            <w:gridSpan w:val="2"/>
          </w:tcPr>
          <w:p>
            <w:pPr>
              <w:pStyle w:val="11"/>
              <w:spacing w:before="1"/>
              <w:ind w:left="108"/>
              <w:rPr>
                <w:sz w:val="24"/>
              </w:rPr>
            </w:pPr>
            <w:r>
              <w:rPr>
                <w:sz w:val="24"/>
              </w:rPr>
              <w:t>中标通知书和</w:t>
            </w:r>
          </w:p>
          <w:p>
            <w:pPr>
              <w:pStyle w:val="11"/>
              <w:spacing w:before="2" w:line="310" w:lineRule="atLeast"/>
              <w:ind w:left="108" w:right="94"/>
              <w:rPr>
                <w:sz w:val="24"/>
              </w:rPr>
            </w:pPr>
            <w:r>
              <w:rPr>
                <w:sz w:val="24"/>
              </w:rPr>
              <w:t>中标结果通知发出的形式</w:t>
            </w:r>
          </w:p>
        </w:tc>
        <w:tc>
          <w:tcPr>
            <w:tcW w:w="7332" w:type="dxa"/>
          </w:tcPr>
          <w:p>
            <w:pPr>
              <w:pStyle w:val="11"/>
              <w:spacing w:before="157"/>
              <w:ind w:left="106"/>
              <w:rPr>
                <w:sz w:val="24"/>
              </w:rPr>
            </w:pPr>
            <w:r>
              <w:rPr>
                <w:sz w:val="24"/>
              </w:rPr>
              <w:t>中标通知书：书面形式</w:t>
            </w:r>
          </w:p>
          <w:p>
            <w:pPr>
              <w:pStyle w:val="11"/>
              <w:spacing w:before="2"/>
              <w:ind w:left="106"/>
              <w:rPr>
                <w:sz w:val="24"/>
              </w:rPr>
            </w:pPr>
            <w:r>
              <w:rPr>
                <w:sz w:val="24"/>
              </w:rPr>
              <w:t>中标结果通知：电子形式（网上发布）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98" w:type="dxa"/>
          </w:tcPr>
          <w:p>
            <w:pPr>
              <w:pStyle w:val="11"/>
              <w:spacing w:before="156"/>
              <w:ind w:left="108"/>
              <w:rPr>
                <w:sz w:val="24"/>
              </w:rPr>
            </w:pPr>
            <w:r>
              <w:rPr>
                <w:sz w:val="24"/>
              </w:rPr>
              <w:t>7.6</w:t>
            </w:r>
          </w:p>
        </w:tc>
        <w:tc>
          <w:tcPr>
            <w:tcW w:w="1701" w:type="dxa"/>
            <w:gridSpan w:val="2"/>
          </w:tcPr>
          <w:p>
            <w:pPr>
              <w:pStyle w:val="11"/>
              <w:spacing w:before="1"/>
              <w:ind w:left="108"/>
              <w:rPr>
                <w:sz w:val="24"/>
              </w:rPr>
            </w:pPr>
            <w:r>
              <w:rPr>
                <w:sz w:val="24"/>
              </w:rPr>
              <w:t>中标结果公告</w:t>
            </w:r>
          </w:p>
          <w:p>
            <w:pPr>
              <w:pStyle w:val="11"/>
              <w:spacing w:before="4" w:line="289" w:lineRule="exact"/>
              <w:ind w:left="108"/>
              <w:rPr>
                <w:sz w:val="24"/>
              </w:rPr>
            </w:pPr>
            <w:r>
              <w:rPr>
                <w:sz w:val="24"/>
              </w:rPr>
              <w:t>媒介</w:t>
            </w:r>
          </w:p>
        </w:tc>
        <w:tc>
          <w:tcPr>
            <w:tcW w:w="7332" w:type="dxa"/>
          </w:tcPr>
          <w:p>
            <w:pPr>
              <w:pStyle w:val="11"/>
              <w:spacing w:before="1"/>
              <w:ind w:left="106"/>
              <w:rPr>
                <w:sz w:val="24"/>
              </w:rPr>
            </w:pPr>
            <w:r>
              <w:rPr>
                <w:sz w:val="24"/>
              </w:rPr>
              <w:t>公告媒介：同招标公告发布媒介</w:t>
            </w:r>
          </w:p>
          <w:p>
            <w:pPr>
              <w:pStyle w:val="11"/>
              <w:spacing w:before="4" w:line="289" w:lineRule="exact"/>
              <w:ind w:left="106"/>
              <w:rPr>
                <w:sz w:val="24"/>
              </w:rPr>
            </w:pPr>
            <w:r>
              <w:rPr>
                <w:sz w:val="24"/>
              </w:rPr>
              <w:t>公示期限：3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998" w:type="dxa"/>
          </w:tcPr>
          <w:p>
            <w:pPr>
              <w:pStyle w:val="11"/>
              <w:rPr>
                <w:rFonts w:ascii="Times New Roman"/>
                <w:sz w:val="24"/>
              </w:rPr>
            </w:pPr>
          </w:p>
          <w:p>
            <w:pPr>
              <w:pStyle w:val="11"/>
              <w:rPr>
                <w:rFonts w:ascii="Times New Roman"/>
                <w:sz w:val="24"/>
              </w:rPr>
            </w:pPr>
          </w:p>
          <w:p>
            <w:pPr>
              <w:pStyle w:val="11"/>
              <w:spacing w:before="4"/>
              <w:rPr>
                <w:rFonts w:ascii="Times New Roman"/>
                <w:sz w:val="33"/>
              </w:rPr>
            </w:pPr>
          </w:p>
          <w:p>
            <w:pPr>
              <w:pStyle w:val="11"/>
              <w:ind w:left="108"/>
              <w:rPr>
                <w:sz w:val="24"/>
              </w:rPr>
            </w:pPr>
            <w:r>
              <w:rPr>
                <w:sz w:val="24"/>
              </w:rPr>
              <w:t>7.7.1</w:t>
            </w:r>
          </w:p>
        </w:tc>
        <w:tc>
          <w:tcPr>
            <w:tcW w:w="1701" w:type="dxa"/>
            <w:gridSpan w:val="2"/>
          </w:tcPr>
          <w:p>
            <w:pPr>
              <w:pStyle w:val="11"/>
              <w:rPr>
                <w:rFonts w:ascii="Times New Roman"/>
                <w:sz w:val="24"/>
              </w:rPr>
            </w:pPr>
          </w:p>
          <w:p>
            <w:pPr>
              <w:pStyle w:val="11"/>
              <w:rPr>
                <w:rFonts w:ascii="Times New Roman"/>
                <w:sz w:val="24"/>
              </w:rPr>
            </w:pPr>
          </w:p>
          <w:p>
            <w:pPr>
              <w:pStyle w:val="11"/>
              <w:spacing w:before="4"/>
              <w:rPr>
                <w:rFonts w:ascii="Times New Roman"/>
                <w:sz w:val="33"/>
              </w:rPr>
            </w:pPr>
          </w:p>
          <w:p>
            <w:pPr>
              <w:pStyle w:val="11"/>
              <w:ind w:left="108"/>
              <w:rPr>
                <w:sz w:val="24"/>
              </w:rPr>
            </w:pPr>
            <w:r>
              <w:rPr>
                <w:sz w:val="24"/>
              </w:rPr>
              <w:t>履约保证金</w:t>
            </w:r>
          </w:p>
        </w:tc>
        <w:tc>
          <w:tcPr>
            <w:tcW w:w="7332" w:type="dxa"/>
          </w:tcPr>
          <w:p>
            <w:pPr>
              <w:pStyle w:val="11"/>
              <w:spacing w:before="2" w:line="289" w:lineRule="exact"/>
              <w:ind w:left="106"/>
              <w:rPr>
                <w:rFonts w:hint="eastAsia" w:eastAsia="宋体"/>
                <w:sz w:val="24"/>
                <w:lang w:eastAsia="zh-CN"/>
              </w:rPr>
            </w:pPr>
            <w:r>
              <w:rPr>
                <w:rFonts w:hint="eastAsia"/>
                <w:sz w:val="24"/>
                <w:lang w:val="en-US" w:eastAsia="zh-CN"/>
              </w:rPr>
              <w:t>不收取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98" w:type="dxa"/>
          </w:tcPr>
          <w:p>
            <w:pPr>
              <w:pStyle w:val="11"/>
              <w:spacing w:before="158"/>
              <w:ind w:left="108"/>
              <w:rPr>
                <w:sz w:val="24"/>
              </w:rPr>
            </w:pPr>
            <w:r>
              <w:rPr>
                <w:sz w:val="24"/>
              </w:rPr>
              <w:t>8</w:t>
            </w:r>
          </w:p>
        </w:tc>
        <w:tc>
          <w:tcPr>
            <w:tcW w:w="1701" w:type="dxa"/>
            <w:gridSpan w:val="2"/>
          </w:tcPr>
          <w:p>
            <w:pPr>
              <w:pStyle w:val="11"/>
              <w:spacing w:before="2"/>
              <w:ind w:left="108"/>
              <w:rPr>
                <w:sz w:val="24"/>
              </w:rPr>
            </w:pPr>
            <w:r>
              <w:rPr>
                <w:sz w:val="24"/>
              </w:rPr>
              <w:t>是否采用电子</w:t>
            </w:r>
          </w:p>
          <w:p>
            <w:pPr>
              <w:pStyle w:val="11"/>
              <w:spacing w:before="4" w:line="289" w:lineRule="exact"/>
              <w:ind w:left="108"/>
              <w:rPr>
                <w:sz w:val="24"/>
              </w:rPr>
            </w:pPr>
            <w:r>
              <w:rPr>
                <w:sz w:val="24"/>
              </w:rPr>
              <w:t>招标投标</w:t>
            </w:r>
          </w:p>
        </w:tc>
        <w:tc>
          <w:tcPr>
            <w:tcW w:w="7332" w:type="dxa"/>
          </w:tcPr>
          <w:p>
            <w:pPr>
              <w:pStyle w:val="11"/>
              <w:spacing w:before="158"/>
              <w:ind w:left="106"/>
              <w:rPr>
                <w:sz w:val="24"/>
              </w:rPr>
            </w:pPr>
            <w:r>
              <w:rPr>
                <w:sz w:val="24"/>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31" w:type="dxa"/>
            <w:gridSpan w:val="4"/>
          </w:tcPr>
          <w:p>
            <w:pPr>
              <w:pStyle w:val="11"/>
              <w:spacing w:before="72"/>
              <w:ind w:left="108"/>
              <w:rPr>
                <w:sz w:val="24"/>
              </w:rPr>
            </w:pPr>
            <w:r>
              <w:rPr>
                <w:sz w:val="24"/>
              </w:rPr>
              <w:t>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6" w:hRule="atLeast"/>
        </w:trPr>
        <w:tc>
          <w:tcPr>
            <w:tcW w:w="1275" w:type="dxa"/>
            <w:gridSpan w:val="2"/>
          </w:tcPr>
          <w:p>
            <w:pPr>
              <w:pStyle w:val="11"/>
              <w:rPr>
                <w:rFonts w:ascii="Times New Roman"/>
                <w:sz w:val="24"/>
              </w:rPr>
            </w:pPr>
          </w:p>
          <w:p>
            <w:pPr>
              <w:pStyle w:val="11"/>
              <w:rPr>
                <w:rFonts w:ascii="Times New Roman"/>
                <w:sz w:val="24"/>
              </w:rPr>
            </w:pPr>
          </w:p>
          <w:p>
            <w:pPr>
              <w:pStyle w:val="11"/>
              <w:spacing w:before="6"/>
              <w:rPr>
                <w:rFonts w:ascii="Times New Roman"/>
                <w:sz w:val="19"/>
              </w:rPr>
            </w:pPr>
          </w:p>
          <w:p>
            <w:pPr>
              <w:pStyle w:val="11"/>
              <w:ind w:left="108"/>
              <w:rPr>
                <w:sz w:val="24"/>
              </w:rPr>
            </w:pPr>
            <w:r>
              <w:rPr>
                <w:sz w:val="24"/>
              </w:rPr>
              <w:t>9.1</w:t>
            </w:r>
          </w:p>
        </w:tc>
        <w:tc>
          <w:tcPr>
            <w:tcW w:w="8756" w:type="dxa"/>
            <w:gridSpan w:val="2"/>
          </w:tcPr>
          <w:p>
            <w:pPr>
              <w:pStyle w:val="11"/>
              <w:spacing w:before="2"/>
              <w:ind w:left="107"/>
              <w:rPr>
                <w:sz w:val="24"/>
              </w:rPr>
            </w:pPr>
            <w:r>
              <w:rPr>
                <w:sz w:val="24"/>
              </w:rPr>
              <w:t>中标候选人放弃中标或提供虚假投标证明材料的惩罚</w:t>
            </w:r>
          </w:p>
          <w:p>
            <w:pPr>
              <w:pStyle w:val="11"/>
              <w:spacing w:before="2" w:line="242" w:lineRule="auto"/>
              <w:ind w:left="107" w:right="97"/>
              <w:jc w:val="both"/>
              <w:rPr>
                <w:sz w:val="24"/>
              </w:rPr>
            </w:pPr>
            <w:r>
              <w:rPr>
                <w:spacing w:val="-7"/>
                <w:sz w:val="24"/>
              </w:rPr>
              <w:t>投标人经查实提供了虚假投标证明材料，或投标人经评标专家确定为中标候选人后</w:t>
            </w:r>
            <w:r>
              <w:rPr>
                <w:spacing w:val="-8"/>
                <w:sz w:val="24"/>
              </w:rPr>
              <w:t>放弃中标资格的，不按招标文件规定拒签合同、放弃中标的，招标人将没收其投标保证金，并按照河南省交通运输厅《河南省交通建设不良行为和</w:t>
            </w:r>
            <w:r>
              <w:rPr>
                <w:sz w:val="24"/>
              </w:rPr>
              <w:t>黑名单管理办法（试行）》（豫交〔2010〕99</w:t>
            </w:r>
            <w:r>
              <w:rPr>
                <w:spacing w:val="-4"/>
                <w:sz w:val="24"/>
              </w:rPr>
              <w:t xml:space="preserve"> 号</w:t>
            </w:r>
            <w:r>
              <w:rPr>
                <w:sz w:val="24"/>
              </w:rPr>
              <w:t>），必要时保留追究其法律责任</w:t>
            </w:r>
          </w:p>
          <w:p>
            <w:pPr>
              <w:pStyle w:val="11"/>
              <w:spacing w:before="3" w:line="290" w:lineRule="exact"/>
              <w:ind w:left="107"/>
              <w:rPr>
                <w:sz w:val="24"/>
              </w:rPr>
            </w:pPr>
            <w:r>
              <w:rPr>
                <w:sz w:val="24"/>
              </w:rPr>
              <w:t>和依法追索赔偿的权利。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1275" w:type="dxa"/>
            <w:gridSpan w:val="2"/>
          </w:tcPr>
          <w:p>
            <w:pPr>
              <w:pStyle w:val="11"/>
              <w:rPr>
                <w:rFonts w:ascii="Times New Roman"/>
                <w:sz w:val="24"/>
              </w:rPr>
            </w:pPr>
          </w:p>
          <w:p>
            <w:pPr>
              <w:pStyle w:val="11"/>
              <w:spacing w:before="191"/>
              <w:ind w:left="108"/>
              <w:rPr>
                <w:sz w:val="24"/>
              </w:rPr>
            </w:pPr>
            <w:r>
              <w:rPr>
                <w:sz w:val="24"/>
              </w:rPr>
              <w:t>9.2</w:t>
            </w:r>
          </w:p>
        </w:tc>
        <w:tc>
          <w:tcPr>
            <w:tcW w:w="8756" w:type="dxa"/>
            <w:gridSpan w:val="2"/>
          </w:tcPr>
          <w:p>
            <w:pPr>
              <w:pStyle w:val="11"/>
              <w:spacing w:before="1" w:line="242" w:lineRule="auto"/>
              <w:ind w:left="107" w:right="97"/>
              <w:jc w:val="both"/>
              <w:rPr>
                <w:sz w:val="24"/>
              </w:rPr>
            </w:pPr>
            <w:r>
              <w:rPr>
                <w:spacing w:val="-6"/>
                <w:sz w:val="24"/>
              </w:rPr>
              <w:t>本次招标的中标人须向招标代理人支付招标代理服务费，此项费用由投标人综合考</w:t>
            </w:r>
            <w:r>
              <w:rPr>
                <w:spacing w:val="-10"/>
                <w:sz w:val="24"/>
              </w:rPr>
              <w:t>虑到投标报价中，不再单独列项。招标代理费参照国家计委《招标代理服务收费管</w:t>
            </w:r>
            <w:r>
              <w:rPr>
                <w:sz w:val="24"/>
              </w:rPr>
              <w:t>理暂行办法》（[2002]1980</w:t>
            </w:r>
            <w:r>
              <w:rPr>
                <w:spacing w:val="-8"/>
                <w:sz w:val="24"/>
              </w:rPr>
              <w:t xml:space="preserve"> 号)及国家发改委</w:t>
            </w:r>
            <w:r>
              <w:rPr>
                <w:sz w:val="24"/>
              </w:rPr>
              <w:t>[2011]534</w:t>
            </w:r>
            <w:r>
              <w:rPr>
                <w:spacing w:val="-9"/>
                <w:sz w:val="24"/>
              </w:rPr>
              <w:t xml:space="preserve"> 号文收费标准计取，在领</w:t>
            </w:r>
          </w:p>
          <w:p>
            <w:pPr>
              <w:pStyle w:val="11"/>
              <w:spacing w:before="2" w:line="290" w:lineRule="exact"/>
              <w:ind w:left="107"/>
              <w:rPr>
                <w:sz w:val="24"/>
              </w:rPr>
            </w:pPr>
            <w:r>
              <w:rPr>
                <w:sz w:val="24"/>
              </w:rPr>
              <w:t>取中标通知书同时支付。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1275" w:type="dxa"/>
            <w:gridSpan w:val="2"/>
          </w:tcPr>
          <w:p>
            <w:pPr>
              <w:pStyle w:val="11"/>
              <w:rPr>
                <w:rFonts w:ascii="Times New Roman"/>
                <w:sz w:val="24"/>
              </w:rPr>
            </w:pPr>
          </w:p>
          <w:p>
            <w:pPr>
              <w:pStyle w:val="11"/>
              <w:spacing w:before="2"/>
              <w:rPr>
                <w:rFonts w:ascii="Times New Roman"/>
                <w:sz w:val="30"/>
              </w:rPr>
            </w:pPr>
          </w:p>
          <w:p>
            <w:pPr>
              <w:pStyle w:val="11"/>
              <w:ind w:left="108"/>
              <w:rPr>
                <w:sz w:val="24"/>
              </w:rPr>
            </w:pPr>
            <w:r>
              <w:rPr>
                <w:sz w:val="24"/>
              </w:rPr>
              <w:t>9.3</w:t>
            </w:r>
          </w:p>
        </w:tc>
        <w:tc>
          <w:tcPr>
            <w:tcW w:w="8756" w:type="dxa"/>
            <w:gridSpan w:val="2"/>
          </w:tcPr>
          <w:p>
            <w:pPr>
              <w:pStyle w:val="11"/>
              <w:spacing w:before="2" w:line="242" w:lineRule="auto"/>
              <w:ind w:left="107" w:right="97"/>
              <w:rPr>
                <w:sz w:val="24"/>
              </w:rPr>
            </w:pPr>
            <w:r>
              <w:rPr>
                <w:spacing w:val="-10"/>
                <w:sz w:val="24"/>
              </w:rPr>
              <w:t>无效标条款：本工程投标文件有下列情形之一的，招标人应当拒收，其投标视为无</w:t>
            </w:r>
            <w:r>
              <w:rPr>
                <w:sz w:val="24"/>
              </w:rPr>
              <w:t>效：</w:t>
            </w:r>
          </w:p>
          <w:p>
            <w:pPr>
              <w:pStyle w:val="11"/>
              <w:ind w:left="107"/>
              <w:rPr>
                <w:sz w:val="24"/>
              </w:rPr>
            </w:pPr>
            <w:r>
              <w:rPr>
                <w:sz w:val="24"/>
              </w:rPr>
              <w:t>1、逾期送达的或者未送达指定地点的；</w:t>
            </w:r>
          </w:p>
          <w:p>
            <w:pPr>
              <w:pStyle w:val="11"/>
              <w:spacing w:before="5"/>
              <w:ind w:left="107"/>
              <w:rPr>
                <w:sz w:val="24"/>
              </w:rPr>
            </w:pPr>
            <w:r>
              <w:rPr>
                <w:sz w:val="24"/>
              </w:rPr>
              <w:t>2、未密封或者未按招标文件要求密封的；</w:t>
            </w:r>
          </w:p>
          <w:p>
            <w:pPr>
              <w:pStyle w:val="11"/>
              <w:spacing w:before="4" w:line="288" w:lineRule="exact"/>
              <w:ind w:left="107"/>
              <w:rPr>
                <w:sz w:val="24"/>
              </w:rPr>
            </w:pPr>
            <w:r>
              <w:rPr>
                <w:sz w:val="24"/>
              </w:rPr>
              <w:t>3、未提交投标保证金或者投标保证金担保保函。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275" w:type="dxa"/>
            <w:gridSpan w:val="2"/>
          </w:tcPr>
          <w:p>
            <w:pPr>
              <w:pStyle w:val="11"/>
              <w:spacing w:before="72"/>
              <w:ind w:left="108"/>
              <w:rPr>
                <w:sz w:val="24"/>
              </w:rPr>
            </w:pPr>
            <w:r>
              <w:rPr>
                <w:sz w:val="24"/>
              </w:rPr>
              <w:t>9.4</w:t>
            </w:r>
          </w:p>
        </w:tc>
        <w:tc>
          <w:tcPr>
            <w:tcW w:w="8756" w:type="dxa"/>
            <w:gridSpan w:val="2"/>
          </w:tcPr>
          <w:p>
            <w:pPr>
              <w:pStyle w:val="11"/>
              <w:spacing w:before="72"/>
              <w:ind w:left="107"/>
              <w:rPr>
                <w:sz w:val="24"/>
              </w:rPr>
            </w:pPr>
            <w:r>
              <w:rPr>
                <w:sz w:val="24"/>
              </w:rPr>
              <w:t>招标文件中要求投标人提供的各类证明材料均指与原件保持一致的彩色扫描件。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275" w:type="dxa"/>
            <w:gridSpan w:val="2"/>
          </w:tcPr>
          <w:p>
            <w:pPr>
              <w:pStyle w:val="11"/>
              <w:spacing w:before="156"/>
              <w:ind w:left="108"/>
              <w:rPr>
                <w:sz w:val="24"/>
              </w:rPr>
            </w:pPr>
            <w:r>
              <w:rPr>
                <w:sz w:val="24"/>
              </w:rPr>
              <w:t>9.5</w:t>
            </w:r>
          </w:p>
        </w:tc>
        <w:tc>
          <w:tcPr>
            <w:tcW w:w="8756" w:type="dxa"/>
            <w:gridSpan w:val="2"/>
          </w:tcPr>
          <w:p>
            <w:pPr>
              <w:pStyle w:val="11"/>
              <w:spacing w:line="310" w:lineRule="atLeast"/>
              <w:ind w:left="107" w:right="97"/>
              <w:rPr>
                <w:sz w:val="24"/>
              </w:rPr>
            </w:pPr>
            <w:r>
              <w:rPr>
                <w:spacing w:val="-10"/>
                <w:sz w:val="24"/>
              </w:rPr>
              <w:t>备注：招标文件的最终解释权归招标人，其它未尽事宜，按国家有关法律、法规执</w:t>
            </w:r>
            <w:r>
              <w:rPr>
                <w:sz w:val="24"/>
              </w:rPr>
              <w:t>行。</w:t>
            </w:r>
          </w:p>
        </w:tc>
      </w:tr>
    </w:tbl>
    <w:p>
      <w:pPr>
        <w:spacing w:after="0" w:line="310" w:lineRule="atLeast"/>
        <w:rPr>
          <w:sz w:val="24"/>
        </w:rPr>
        <w:sectPr>
          <w:footerReference r:id="rId8" w:type="default"/>
          <w:pgSz w:w="11910" w:h="16840"/>
          <w:pgMar w:top="1380" w:right="720" w:bottom="1080" w:left="820" w:header="746" w:footer="891" w:gutter="0"/>
          <w:pgNumType w:start="10"/>
          <w:cols w:space="720" w:num="1"/>
        </w:sectPr>
      </w:pPr>
    </w:p>
    <w:p>
      <w:pPr>
        <w:pStyle w:val="5"/>
        <w:spacing w:before="4"/>
        <w:ind w:left="0"/>
        <w:rPr>
          <w:rFonts w:ascii="Times New Roman"/>
          <w:sz w:val="20"/>
        </w:rPr>
      </w:pPr>
      <w:r>
        <mc:AlternateContent>
          <mc:Choice Requires="wps">
            <w:drawing>
              <wp:anchor distT="0" distB="0" distL="114300" distR="114300" simplePos="0" relativeHeight="251701248" behindDoc="0" locked="0" layoutInCell="1" allowOverlap="1">
                <wp:simplePos x="0" y="0"/>
                <wp:positionH relativeFrom="page">
                  <wp:posOffset>970280</wp:posOffset>
                </wp:positionH>
                <wp:positionV relativeFrom="page">
                  <wp:posOffset>4914900</wp:posOffset>
                </wp:positionV>
                <wp:extent cx="5618480" cy="0"/>
                <wp:effectExtent l="0" t="0" r="0" b="0"/>
                <wp:wrapNone/>
                <wp:docPr id="18" name="直线 2"/>
                <wp:cNvGraphicFramePr/>
                <a:graphic xmlns:a="http://schemas.openxmlformats.org/drawingml/2006/main">
                  <a:graphicData uri="http://schemas.microsoft.com/office/word/2010/wordprocessingShape">
                    <wps:wsp>
                      <wps:cNvCnPr/>
                      <wps:spPr>
                        <a:xfrm>
                          <a:off x="0" y="0"/>
                          <a:ext cx="56184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76.4pt;margin-top:387pt;height:0pt;width:442.4pt;mso-position-horizontal-relative:page;mso-position-vertical-relative:page;z-index:251701248;mso-width-relative:page;mso-height-relative:page;" filled="f" stroked="t" coordsize="21600,21600" o:gfxdata="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LR9ptcA&#10;AAAMAQAADwAAAAAAAAABACAAAAAiAAAAZHJzL2Rvd25yZXYueG1sUEsBAhQAFAAAAAgAh07iQJFR&#10;EtLnAQAA3QMAAA4AAAAAAAAAAQAgAAAAJgEAAGRycy9lMm9Eb2MueG1sUEsFBgAAAAAGAAYAWQEA&#10;AH8FAAAAAA==&#10;">
                <v:fill on="f" focussize="0,0"/>
                <v:stroke weight="1.44pt" color="#000000" joinstyle="round"/>
                <v:imagedata o:title=""/>
                <o:lock v:ext="edit" aspectratio="f"/>
              </v:line>
            </w:pict>
          </mc:Fallback>
        </mc:AlternateContent>
      </w:r>
    </w:p>
    <w:p>
      <w:pPr>
        <w:pStyle w:val="4"/>
        <w:spacing w:before="67"/>
        <w:ind w:left="258" w:right="360"/>
        <w:jc w:val="center"/>
      </w:pPr>
      <w:r>
        <mc:AlternateContent>
          <mc:Choice Requires="wps">
            <w:drawing>
              <wp:anchor distT="0" distB="0" distL="114300" distR="114300" simplePos="0" relativeHeight="251702272" behindDoc="0" locked="0" layoutInCell="1" allowOverlap="1">
                <wp:simplePos x="0" y="0"/>
                <wp:positionH relativeFrom="page">
                  <wp:posOffset>988695</wp:posOffset>
                </wp:positionH>
                <wp:positionV relativeFrom="paragraph">
                  <wp:posOffset>1482090</wp:posOffset>
                </wp:positionV>
                <wp:extent cx="5582285" cy="0"/>
                <wp:effectExtent l="0" t="0" r="0" b="0"/>
                <wp:wrapNone/>
                <wp:docPr id="19" name="直线 3"/>
                <wp:cNvGraphicFramePr/>
                <a:graphic xmlns:a="http://schemas.openxmlformats.org/drawingml/2006/main">
                  <a:graphicData uri="http://schemas.microsoft.com/office/word/2010/wordprocessingShape">
                    <wps:wsp>
                      <wps:cNvCnPr/>
                      <wps:spPr>
                        <a:xfrm>
                          <a:off x="0" y="0"/>
                          <a:ext cx="55822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77.85pt;margin-top:116.7pt;height:0pt;width:439.55pt;mso-position-horizontal-relative:page;z-index:251702272;mso-width-relative:page;mso-height-relative:page;" filled="f" stroked="t" coordsize="21600,21600" o:gfxdata="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DtClC&#10;1wAAAAwBAAAPAAAAAAAAAAEAIAAAACIAAABkcnMvZG93bnJldi54bWxQSwECFAAUAAAACACHTuJA&#10;Ufz7/ukBAADcAwAADgAAAAAAAAABACAAAAAmAQAAZHJzL2Uyb0RvYy54bWxQSwUGAAAAAAYABgBZ&#10;AQAAgQUAAAAA&#10;">
                <v:fill on="f" focussize="0,0"/>
                <v:stroke weight="0.72pt" color="#000000" joinstyle="round"/>
                <v:imagedata o:title=""/>
                <o:lock v:ext="edit" aspectratio="f"/>
              </v:line>
            </w:pict>
          </mc:Fallback>
        </mc:AlternateContent>
      </w:r>
      <w:bookmarkStart w:id="5" w:name="附录2资格审查条件(财务最低要求)"/>
      <w:bookmarkEnd w:id="5"/>
      <w:r>
        <w:t>附录 1 资格审查条件(资质最低要求)</w:t>
      </w:r>
    </w:p>
    <w:p>
      <w:pPr>
        <w:pStyle w:val="5"/>
        <w:ind w:left="0"/>
        <w:rPr>
          <w:b/>
          <w:sz w:val="20"/>
        </w:rPr>
      </w:pPr>
    </w:p>
    <w:p>
      <w:pPr>
        <w:pStyle w:val="5"/>
        <w:ind w:left="0"/>
        <w:rPr>
          <w:b/>
          <w:sz w:val="20"/>
        </w:rPr>
      </w:pPr>
    </w:p>
    <w:p>
      <w:pPr>
        <w:pStyle w:val="5"/>
        <w:spacing w:before="12"/>
        <w:ind w:left="0"/>
        <w:rPr>
          <w:b/>
        </w:rPr>
      </w:pPr>
      <w:r>
        <mc:AlternateContent>
          <mc:Choice Requires="wps">
            <w:drawing>
              <wp:anchor distT="0" distB="0" distL="0" distR="0" simplePos="0" relativeHeight="251698176" behindDoc="1" locked="0" layoutInCell="1" allowOverlap="1">
                <wp:simplePos x="0" y="0"/>
                <wp:positionH relativeFrom="page">
                  <wp:posOffset>970280</wp:posOffset>
                </wp:positionH>
                <wp:positionV relativeFrom="paragraph">
                  <wp:posOffset>237490</wp:posOffset>
                </wp:positionV>
                <wp:extent cx="5618480" cy="0"/>
                <wp:effectExtent l="0" t="0" r="0" b="0"/>
                <wp:wrapTopAndBottom/>
                <wp:docPr id="15" name="直线 4"/>
                <wp:cNvGraphicFramePr/>
                <a:graphic xmlns:a="http://schemas.openxmlformats.org/drawingml/2006/main">
                  <a:graphicData uri="http://schemas.microsoft.com/office/word/2010/wordprocessingShape">
                    <wps:wsp>
                      <wps:cNvCnPr/>
                      <wps:spPr>
                        <a:xfrm>
                          <a:off x="0" y="0"/>
                          <a:ext cx="56184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76.4pt;margin-top:18.7pt;height:0pt;width:442.4pt;mso-position-horizontal-relative:page;mso-wrap-distance-bottom:0pt;mso-wrap-distance-top:0pt;z-index:-251618304;mso-width-relative:page;mso-height-relative:page;" filled="f" stroked="t" coordsize="21600,21600" o:gfxdata="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fvOMvW&#10;AAAACgEAAA8AAAAAAAAAAQAgAAAAIgAAAGRycy9kb3ducmV2LnhtbFBLAQIUABQAAAAIAIdO4kDr&#10;Ts5T6QEAAN0DAAAOAAAAAAAAAAEAIAAAACUBAABkcnMvZTJvRG9jLnhtbFBLBQYAAAAABgAGAFkB&#10;AACABQ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699200" behindDoc="1" locked="0" layoutInCell="1" allowOverlap="1">
                <wp:simplePos x="0" y="0"/>
                <wp:positionH relativeFrom="page">
                  <wp:posOffset>3115945</wp:posOffset>
                </wp:positionH>
                <wp:positionV relativeFrom="paragraph">
                  <wp:posOffset>363220</wp:posOffset>
                </wp:positionV>
                <wp:extent cx="1344930" cy="132715"/>
                <wp:effectExtent l="0" t="0" r="0" b="0"/>
                <wp:wrapTopAndBottom/>
                <wp:docPr id="16" name="文本框 5"/>
                <wp:cNvGraphicFramePr/>
                <a:graphic xmlns:a="http://schemas.openxmlformats.org/drawingml/2006/main">
                  <a:graphicData uri="http://schemas.microsoft.com/office/word/2010/wordprocessingShape">
                    <wps:wsp>
                      <wps:cNvSpPr txBox="1"/>
                      <wps:spPr>
                        <a:xfrm>
                          <a:off x="0" y="0"/>
                          <a:ext cx="1344930" cy="132715"/>
                        </a:xfrm>
                        <a:prstGeom prst="rect">
                          <a:avLst/>
                        </a:prstGeom>
                        <a:noFill/>
                        <a:ln>
                          <a:noFill/>
                        </a:ln>
                      </wps:spPr>
                      <wps:txbx>
                        <w:txbxContent>
                          <w:p>
                            <w:pPr>
                              <w:spacing w:before="0" w:line="209" w:lineRule="exact"/>
                              <w:ind w:left="0" w:right="0" w:firstLine="0"/>
                              <w:jc w:val="left"/>
                              <w:rPr>
                                <w:sz w:val="21"/>
                              </w:rPr>
                            </w:pPr>
                            <w:r>
                              <w:rPr>
                                <w:sz w:val="21"/>
                              </w:rPr>
                              <w:t>施工企业资质等级要求</w:t>
                            </w:r>
                          </w:p>
                        </w:txbxContent>
                      </wps:txbx>
                      <wps:bodyPr lIns="0" tIns="0" rIns="0" bIns="0" upright="1"/>
                    </wps:wsp>
                  </a:graphicData>
                </a:graphic>
              </wp:anchor>
            </w:drawing>
          </mc:Choice>
          <mc:Fallback>
            <w:pict>
              <v:shape id="文本框 5" o:spid="_x0000_s1026" o:spt="202" type="#_x0000_t202" style="position:absolute;left:0pt;margin-left:245.35pt;margin-top:28.6pt;height:10.45pt;width:105.9pt;mso-position-horizontal-relative:page;mso-wrap-distance-bottom:0pt;mso-wrap-distance-top:0pt;z-index:-251617280;mso-width-relative:page;mso-height-relative:page;" filled="f" stroked="f" coordsize="21600,21600" o:gfxdata="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uSp1G2QAAAAkBAAAPAAAAAAAAAAEAIAAAACIAAABkcnMvZG93bnJldi54bWxQSwEC&#10;FAAUAAAACACHTuJAml0wELoBAABzAwAADgAAAAAAAAABACAAAAAoAQAAZHJzL2Uyb0RvYy54bWxQ&#10;SwUGAAAAAAYABgBZAQAAVAUAAAAA&#10;">
                <v:fill on="f" focussize="0,0"/>
                <v:stroke on="f"/>
                <v:imagedata o:title=""/>
                <o:lock v:ext="edit" aspectratio="f"/>
                <v:textbox inset="0mm,0mm,0mm,0mm">
                  <w:txbxContent>
                    <w:p>
                      <w:pPr>
                        <w:spacing w:before="0" w:line="209" w:lineRule="exact"/>
                        <w:ind w:left="0" w:right="0" w:firstLine="0"/>
                        <w:jc w:val="left"/>
                        <w:rPr>
                          <w:sz w:val="21"/>
                        </w:rPr>
                      </w:pPr>
                      <w:r>
                        <w:rPr>
                          <w:sz w:val="21"/>
                        </w:rPr>
                        <w:t>施工企业资质等级要求</w:t>
                      </w:r>
                    </w:p>
                  </w:txbxContent>
                </v:textbox>
                <w10:wrap type="topAndBottom"/>
              </v:shape>
            </w:pict>
          </mc:Fallback>
        </mc:AlternateContent>
      </w:r>
    </w:p>
    <w:p>
      <w:pPr>
        <w:pStyle w:val="5"/>
        <w:spacing w:before="1"/>
        <w:ind w:left="0"/>
        <w:rPr>
          <w:b/>
          <w:sz w:val="10"/>
        </w:rPr>
      </w:pPr>
    </w:p>
    <w:p>
      <w:pPr>
        <w:pStyle w:val="5"/>
        <w:ind w:left="0"/>
        <w:rPr>
          <w:b/>
          <w:sz w:val="20"/>
        </w:rPr>
      </w:pPr>
    </w:p>
    <w:p>
      <w:pPr>
        <w:pStyle w:val="5"/>
        <w:spacing w:before="6"/>
        <w:ind w:left="0"/>
        <w:rPr>
          <w:b/>
          <w:sz w:val="29"/>
        </w:rPr>
      </w:pPr>
      <w:r>
        <mc:AlternateContent>
          <mc:Choice Requires="wps">
            <w:drawing>
              <wp:anchor distT="0" distB="0" distL="0" distR="0" simplePos="0" relativeHeight="251700224" behindDoc="1" locked="0" layoutInCell="1" allowOverlap="1">
                <wp:simplePos x="0" y="0"/>
                <wp:positionH relativeFrom="page">
                  <wp:posOffset>988695</wp:posOffset>
                </wp:positionH>
                <wp:positionV relativeFrom="paragraph">
                  <wp:posOffset>254635</wp:posOffset>
                </wp:positionV>
                <wp:extent cx="5582920" cy="2394585"/>
                <wp:effectExtent l="0" t="0" r="0" b="0"/>
                <wp:wrapTopAndBottom/>
                <wp:docPr id="17" name="文本框 6"/>
                <wp:cNvGraphicFramePr/>
                <a:graphic xmlns:a="http://schemas.openxmlformats.org/drawingml/2006/main">
                  <a:graphicData uri="http://schemas.microsoft.com/office/word/2010/wordprocessingShape">
                    <wps:wsp>
                      <wps:cNvSpPr txBox="1"/>
                      <wps:spPr>
                        <a:xfrm>
                          <a:off x="0" y="0"/>
                          <a:ext cx="5582920" cy="2394585"/>
                        </a:xfrm>
                        <a:prstGeom prst="rect">
                          <a:avLst/>
                        </a:prstGeom>
                        <a:noFill/>
                        <a:ln>
                          <a:noFill/>
                        </a:ln>
                      </wps:spPr>
                      <wps:txbx>
                        <w:txbxContent>
                          <w:p>
                            <w:pPr>
                              <w:pStyle w:val="5"/>
                              <w:spacing w:before="7"/>
                              <w:ind w:left="0"/>
                              <w:rPr>
                                <w:b/>
                                <w:sz w:val="23"/>
                              </w:rPr>
                            </w:pPr>
                          </w:p>
                          <w:p>
                            <w:pPr>
                              <w:spacing w:before="0" w:line="364" w:lineRule="auto"/>
                              <w:ind w:left="103" w:right="0" w:firstLine="0"/>
                              <w:jc w:val="left"/>
                              <w:rPr>
                                <w:sz w:val="21"/>
                              </w:rPr>
                            </w:pPr>
                            <w:r>
                              <w:rPr>
                                <w:sz w:val="21"/>
                              </w:rPr>
                              <w:t>具有独立企业法人资格，有效的营业执照；有效的安全生产许可证；具有有效的建设行政主管部门核发的公路工程施工总承包贰级及以上资质。</w:t>
                            </w:r>
                          </w:p>
                        </w:txbxContent>
                      </wps:txbx>
                      <wps:bodyPr lIns="0" tIns="0" rIns="0" bIns="0" upright="1"/>
                    </wps:wsp>
                  </a:graphicData>
                </a:graphic>
              </wp:anchor>
            </w:drawing>
          </mc:Choice>
          <mc:Fallback>
            <w:pict>
              <v:shape id="文本框 6" o:spid="_x0000_s1026" o:spt="202" type="#_x0000_t202" style="position:absolute;left:0pt;margin-left:77.85pt;margin-top:20.05pt;height:188.55pt;width:439.6pt;mso-position-horizontal-relative:page;mso-wrap-distance-bottom:0pt;mso-wrap-distance-top:0pt;z-index:-251616256;mso-width-relative:page;mso-height-relative:page;" filled="f" stroked="f" coordsize="21600,21600" o:gfxdata="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xI9J9gAAAALAQAADwAAAAAAAAABACAAAAAiAAAAZHJzL2Rvd25yZXYueG1sUEsB&#10;AhQAFAAAAAgAh07iQPPPbjm8AQAAdAMAAA4AAAAAAAAAAQAgAAAAJwEAAGRycy9lMm9Eb2MueG1s&#10;UEsFBgAAAAAGAAYAWQEAAFUFAAAAAA==&#10;">
                <v:fill on="f" focussize="0,0"/>
                <v:stroke on="f"/>
                <v:imagedata o:title=""/>
                <o:lock v:ext="edit" aspectratio="f"/>
                <v:textbox inset="0mm,0mm,0mm,0mm">
                  <w:txbxContent>
                    <w:p>
                      <w:pPr>
                        <w:pStyle w:val="5"/>
                        <w:spacing w:before="7"/>
                        <w:ind w:left="0"/>
                        <w:rPr>
                          <w:b/>
                          <w:sz w:val="23"/>
                        </w:rPr>
                      </w:pPr>
                    </w:p>
                    <w:p>
                      <w:pPr>
                        <w:spacing w:before="0" w:line="364" w:lineRule="auto"/>
                        <w:ind w:left="103" w:right="0" w:firstLine="0"/>
                        <w:jc w:val="left"/>
                        <w:rPr>
                          <w:sz w:val="21"/>
                        </w:rPr>
                      </w:pPr>
                      <w:r>
                        <w:rPr>
                          <w:sz w:val="21"/>
                        </w:rPr>
                        <w:t>具有独立企业法人资格，有效的营业执照；有效的安全生产许可证；具有有效的建设行政主管部门核发的公路工程施工总承包贰级及以上资质。</w:t>
                      </w:r>
                    </w:p>
                  </w:txbxContent>
                </v:textbox>
                <w10:wrap type="topAndBottom"/>
              </v:shape>
            </w:pict>
          </mc:Fallback>
        </mc:AlternateContent>
      </w:r>
    </w:p>
    <w:p>
      <w:pPr>
        <w:spacing w:after="0"/>
        <w:rPr>
          <w:sz w:val="29"/>
        </w:rPr>
        <w:sectPr>
          <w:pgSz w:w="11910" w:h="16840"/>
          <w:pgMar w:top="1380" w:right="720" w:bottom="1080" w:left="820" w:header="746" w:footer="891" w:gutter="0"/>
          <w:cols w:space="720" w:num="1"/>
        </w:sectPr>
      </w:pPr>
    </w:p>
    <w:p>
      <w:pPr>
        <w:pStyle w:val="5"/>
        <w:spacing w:before="5"/>
        <w:ind w:left="0"/>
        <w:rPr>
          <w:b/>
          <w:sz w:val="13"/>
        </w:rPr>
      </w:pPr>
      <w:r>
        <mc:AlternateContent>
          <mc:Choice Requires="wps">
            <w:drawing>
              <wp:anchor distT="0" distB="0" distL="114300" distR="114300" simplePos="0" relativeHeight="251706368" behindDoc="0" locked="0" layoutInCell="1" allowOverlap="1">
                <wp:simplePos x="0" y="0"/>
                <wp:positionH relativeFrom="page">
                  <wp:posOffset>957580</wp:posOffset>
                </wp:positionH>
                <wp:positionV relativeFrom="page">
                  <wp:posOffset>4739005</wp:posOffset>
                </wp:positionV>
                <wp:extent cx="5643880" cy="0"/>
                <wp:effectExtent l="0" t="0" r="0" b="0"/>
                <wp:wrapNone/>
                <wp:docPr id="23" name="直线 7"/>
                <wp:cNvGraphicFramePr/>
                <a:graphic xmlns:a="http://schemas.openxmlformats.org/drawingml/2006/main">
                  <a:graphicData uri="http://schemas.microsoft.com/office/word/2010/wordprocessingShape">
                    <wps:wsp>
                      <wps:cNvCnPr/>
                      <wps:spPr>
                        <a:xfrm>
                          <a:off x="0" y="0"/>
                          <a:ext cx="56438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75.4pt;margin-top:373.15pt;height:0pt;width:444.4pt;mso-position-horizontal-relative:page;mso-position-vertical-relative:page;z-index:251706368;mso-width-relative:page;mso-height-relative:page;" filled="f" stroked="t" coordsize="21600,21600" o:gfxdata="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rWMK&#10;1gAAAAwBAAAPAAAAAAAAAAEAIAAAACIAAABkcnMvZG93bnJldi54bWxQSwECFAAUAAAACACHTuJA&#10;B7kIDOoBAADdAwAADgAAAAAAAAABACAAAAAlAQAAZHJzL2Uyb0RvYy54bWxQSwUGAAAAAAYABgBZ&#10;AQAAgQUAAAAA&#10;">
                <v:fill on="f" focussize="0,0"/>
                <v:stroke weight="1.44pt" color="#000000" joinstyle="round"/>
                <v:imagedata o:title=""/>
                <o:lock v:ext="edit" aspectratio="f"/>
              </v:line>
            </w:pict>
          </mc:Fallback>
        </mc:AlternateContent>
      </w:r>
    </w:p>
    <w:p>
      <w:pPr>
        <w:pStyle w:val="4"/>
        <w:spacing w:before="67"/>
        <w:ind w:left="258" w:right="360"/>
        <w:jc w:val="center"/>
      </w:pPr>
      <w:r>
        <mc:AlternateContent>
          <mc:Choice Requires="wps">
            <w:drawing>
              <wp:anchor distT="0" distB="0" distL="114300" distR="114300" simplePos="0" relativeHeight="251707392" behindDoc="0" locked="0" layoutInCell="1" allowOverlap="1">
                <wp:simplePos x="0" y="0"/>
                <wp:positionH relativeFrom="page">
                  <wp:posOffset>975995</wp:posOffset>
                </wp:positionH>
                <wp:positionV relativeFrom="paragraph">
                  <wp:posOffset>1338580</wp:posOffset>
                </wp:positionV>
                <wp:extent cx="5607685" cy="0"/>
                <wp:effectExtent l="0" t="0" r="0" b="0"/>
                <wp:wrapNone/>
                <wp:docPr id="24" name="直线 8"/>
                <wp:cNvGraphicFramePr/>
                <a:graphic xmlns:a="http://schemas.openxmlformats.org/drawingml/2006/main">
                  <a:graphicData uri="http://schemas.microsoft.com/office/word/2010/wordprocessingShape">
                    <wps:wsp>
                      <wps:cNvCnPr/>
                      <wps:spPr>
                        <a:xfrm>
                          <a:off x="0" y="0"/>
                          <a:ext cx="5607685"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76.85pt;margin-top:105.4pt;height:0pt;width:441.55pt;mso-position-horizontal-relative:page;z-index:251707392;mso-width-relative:page;mso-height-relative:page;" filled="f" stroked="t" coordsize="21600,21600" o:gfxdata="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6CZQY&#10;1wAAAAwBAAAPAAAAAAAAAAEAIAAAACIAAABkcnMvZG93bnJldi54bWxQSwECFAAUAAAACACHTuJA&#10;iWLlW+kBAADcAwAADgAAAAAAAAABACAAAAAmAQAAZHJzL2Uyb0RvYy54bWxQSwUGAAAAAAYABgBZ&#10;AQAAgQUAAAAA&#10;">
                <v:fill on="f" focussize="0,0"/>
                <v:stroke weight="0.72pt" color="#000000" joinstyle="round"/>
                <v:imagedata o:title=""/>
                <o:lock v:ext="edit" aspectratio="f"/>
              </v:line>
            </w:pict>
          </mc:Fallback>
        </mc:AlternateContent>
      </w:r>
      <w:r>
        <w:t>附录 2 资格审查条件(财务最低要求)</w:t>
      </w:r>
    </w:p>
    <w:p>
      <w:pPr>
        <w:pStyle w:val="5"/>
        <w:ind w:left="0"/>
        <w:rPr>
          <w:b/>
          <w:sz w:val="20"/>
        </w:rPr>
      </w:pPr>
    </w:p>
    <w:p>
      <w:pPr>
        <w:pStyle w:val="5"/>
        <w:spacing w:before="8"/>
        <w:ind w:left="0"/>
        <w:rPr>
          <w:b/>
          <w:sz w:val="23"/>
        </w:rPr>
      </w:pPr>
      <w:r>
        <mc:AlternateContent>
          <mc:Choice Requires="wps">
            <w:drawing>
              <wp:anchor distT="0" distB="0" distL="0" distR="0" simplePos="0" relativeHeight="251703296" behindDoc="1" locked="0" layoutInCell="1" allowOverlap="1">
                <wp:simplePos x="0" y="0"/>
                <wp:positionH relativeFrom="page">
                  <wp:posOffset>957580</wp:posOffset>
                </wp:positionH>
                <wp:positionV relativeFrom="paragraph">
                  <wp:posOffset>226060</wp:posOffset>
                </wp:positionV>
                <wp:extent cx="5643880" cy="0"/>
                <wp:effectExtent l="0" t="0" r="0" b="0"/>
                <wp:wrapTopAndBottom/>
                <wp:docPr id="20" name="直线 9"/>
                <wp:cNvGraphicFramePr/>
                <a:graphic xmlns:a="http://schemas.openxmlformats.org/drawingml/2006/main">
                  <a:graphicData uri="http://schemas.microsoft.com/office/word/2010/wordprocessingShape">
                    <wps:wsp>
                      <wps:cNvCnPr/>
                      <wps:spPr>
                        <a:xfrm>
                          <a:off x="0" y="0"/>
                          <a:ext cx="5643880"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75.4pt;margin-top:17.8pt;height:0pt;width:444.4pt;mso-position-horizontal-relative:page;mso-wrap-distance-bottom:0pt;mso-wrap-distance-top:0pt;z-index:-251613184;mso-width-relative:page;mso-height-relative:page;" filled="f" stroked="t" coordsize="21600,21600" o:gfxdata="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JszmNUA&#10;AAAKAQAADwAAAAAAAAABACAAAAAiAAAAZHJzL2Rvd25yZXYueG1sUEsBAhQAFAAAAAgAh07iQMYp&#10;Ij/pAQAA3QMAAA4AAAAAAAAAAQAgAAAAJAEAAGRycy9lMm9Eb2MueG1sUEsFBgAAAAAGAAYAWQEA&#10;AH8FA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704320" behindDoc="1" locked="0" layoutInCell="1" allowOverlap="1">
                <wp:simplePos x="0" y="0"/>
                <wp:positionH relativeFrom="page">
                  <wp:posOffset>3515360</wp:posOffset>
                </wp:positionH>
                <wp:positionV relativeFrom="paragraph">
                  <wp:posOffset>350520</wp:posOffset>
                </wp:positionV>
                <wp:extent cx="544830" cy="132715"/>
                <wp:effectExtent l="0" t="0" r="0" b="0"/>
                <wp:wrapTopAndBottom/>
                <wp:docPr id="21" name="文本框 10"/>
                <wp:cNvGraphicFramePr/>
                <a:graphic xmlns:a="http://schemas.openxmlformats.org/drawingml/2006/main">
                  <a:graphicData uri="http://schemas.microsoft.com/office/word/2010/wordprocessingShape">
                    <wps:wsp>
                      <wps:cNvSpPr txBox="1"/>
                      <wps:spPr>
                        <a:xfrm>
                          <a:off x="0" y="0"/>
                          <a:ext cx="544830" cy="132715"/>
                        </a:xfrm>
                        <a:prstGeom prst="rect">
                          <a:avLst/>
                        </a:prstGeom>
                        <a:noFill/>
                        <a:ln>
                          <a:noFill/>
                        </a:ln>
                      </wps:spPr>
                      <wps:txbx>
                        <w:txbxContent>
                          <w:p>
                            <w:pPr>
                              <w:spacing w:before="0" w:line="209" w:lineRule="exact"/>
                              <w:ind w:left="0" w:right="0" w:firstLine="0"/>
                              <w:jc w:val="left"/>
                              <w:rPr>
                                <w:sz w:val="21"/>
                              </w:rPr>
                            </w:pPr>
                            <w:r>
                              <w:rPr>
                                <w:sz w:val="21"/>
                              </w:rPr>
                              <w:t>财务要求</w:t>
                            </w:r>
                          </w:p>
                        </w:txbxContent>
                      </wps:txbx>
                      <wps:bodyPr lIns="0" tIns="0" rIns="0" bIns="0" upright="1"/>
                    </wps:wsp>
                  </a:graphicData>
                </a:graphic>
              </wp:anchor>
            </w:drawing>
          </mc:Choice>
          <mc:Fallback>
            <w:pict>
              <v:shape id="文本框 10" o:spid="_x0000_s1026" o:spt="202" type="#_x0000_t202" style="position:absolute;left:0pt;margin-left:276.8pt;margin-top:27.6pt;height:10.45pt;width:42.9pt;mso-position-horizontal-relative:page;mso-wrap-distance-bottom:0pt;mso-wrap-distance-top:0pt;z-index:-251612160;mso-width-relative:page;mso-height-relative:page;" filled="f" stroked="f" coordsize="21600,21600" o:gfxdata="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ACbdkAAAAJAQAADwAAAAAAAAABACAAAAAiAAAAZHJzL2Rvd25yZXYueG1sUEsB&#10;AhQAFAAAAAgAh07iQHgD2Fu7AQAAcwMAAA4AAAAAAAAAAQAgAAAAKAEAAGRycy9lMm9Eb2MueG1s&#10;UEsFBgAAAAAGAAYAWQEAAFUFAAAAAA==&#10;">
                <v:fill on="f" focussize="0,0"/>
                <v:stroke on="f"/>
                <v:imagedata o:title=""/>
                <o:lock v:ext="edit" aspectratio="f"/>
                <v:textbox inset="0mm,0mm,0mm,0mm">
                  <w:txbxContent>
                    <w:p>
                      <w:pPr>
                        <w:spacing w:before="0" w:line="209" w:lineRule="exact"/>
                        <w:ind w:left="0" w:right="0" w:firstLine="0"/>
                        <w:jc w:val="left"/>
                        <w:rPr>
                          <w:sz w:val="21"/>
                        </w:rPr>
                      </w:pPr>
                      <w:r>
                        <w:rPr>
                          <w:sz w:val="21"/>
                        </w:rPr>
                        <w:t>财务要求</w:t>
                      </w:r>
                    </w:p>
                  </w:txbxContent>
                </v:textbox>
                <w10:wrap type="topAndBottom"/>
              </v:shape>
            </w:pict>
          </mc:Fallback>
        </mc:AlternateContent>
      </w:r>
    </w:p>
    <w:p>
      <w:pPr>
        <w:pStyle w:val="5"/>
        <w:spacing w:before="12"/>
        <w:ind w:left="0"/>
        <w:rPr>
          <w:b/>
          <w:sz w:val="9"/>
        </w:rPr>
      </w:pPr>
    </w:p>
    <w:p>
      <w:pPr>
        <w:pStyle w:val="5"/>
        <w:ind w:left="0"/>
        <w:rPr>
          <w:b/>
          <w:sz w:val="20"/>
        </w:rPr>
      </w:pPr>
    </w:p>
    <w:p>
      <w:pPr>
        <w:pStyle w:val="5"/>
        <w:ind w:left="0"/>
        <w:rPr>
          <w:b/>
          <w:sz w:val="20"/>
        </w:rPr>
      </w:pPr>
    </w:p>
    <w:p>
      <w:pPr>
        <w:pStyle w:val="5"/>
        <w:spacing w:before="5"/>
        <w:ind w:left="0"/>
        <w:rPr>
          <w:b/>
          <w:sz w:val="13"/>
        </w:rPr>
      </w:pPr>
      <w:r>
        <mc:AlternateContent>
          <mc:Choice Requires="wps">
            <w:drawing>
              <wp:anchor distT="0" distB="0" distL="0" distR="0" simplePos="0" relativeHeight="251705344" behindDoc="1" locked="0" layoutInCell="1" allowOverlap="1">
                <wp:simplePos x="0" y="0"/>
                <wp:positionH relativeFrom="page">
                  <wp:posOffset>975995</wp:posOffset>
                </wp:positionH>
                <wp:positionV relativeFrom="paragraph">
                  <wp:posOffset>123825</wp:posOffset>
                </wp:positionV>
                <wp:extent cx="5608320" cy="2401570"/>
                <wp:effectExtent l="0" t="0" r="0" b="0"/>
                <wp:wrapTopAndBottom/>
                <wp:docPr id="22" name="文本框 11"/>
                <wp:cNvGraphicFramePr/>
                <a:graphic xmlns:a="http://schemas.openxmlformats.org/drawingml/2006/main">
                  <a:graphicData uri="http://schemas.microsoft.com/office/word/2010/wordprocessingShape">
                    <wps:wsp>
                      <wps:cNvSpPr txBox="1"/>
                      <wps:spPr>
                        <a:xfrm>
                          <a:off x="0" y="0"/>
                          <a:ext cx="5608320" cy="2401570"/>
                        </a:xfrm>
                        <a:prstGeom prst="rect">
                          <a:avLst/>
                        </a:prstGeom>
                        <a:noFill/>
                        <a:ln>
                          <a:noFill/>
                        </a:ln>
                      </wps:spPr>
                      <wps:txbx>
                        <w:txbxContent>
                          <w:p>
                            <w:pPr>
                              <w:pStyle w:val="5"/>
                              <w:spacing w:before="10"/>
                              <w:ind w:left="0"/>
                              <w:rPr>
                                <w:b/>
                                <w:sz w:val="28"/>
                              </w:rPr>
                            </w:pPr>
                          </w:p>
                          <w:p>
                            <w:pPr>
                              <w:spacing w:before="0" w:line="355" w:lineRule="auto"/>
                              <w:ind w:left="149" w:right="39" w:firstLine="477"/>
                              <w:jc w:val="left"/>
                              <w:rPr>
                                <w:sz w:val="21"/>
                              </w:rPr>
                            </w:pPr>
                            <w:r>
                              <w:rPr>
                                <w:spacing w:val="-6"/>
                                <w:sz w:val="21"/>
                              </w:rPr>
                              <w:t xml:space="preserve">近三年财务状况良好，没有财产被接管、冻结或处于亏损破产状况，须提供 </w:t>
                            </w:r>
                            <w:r>
                              <w:rPr>
                                <w:sz w:val="21"/>
                              </w:rPr>
                              <w:t>2019</w:t>
                            </w:r>
                            <w:r>
                              <w:rPr>
                                <w:spacing w:val="-20"/>
                                <w:sz w:val="21"/>
                              </w:rPr>
                              <w:t>、</w:t>
                            </w:r>
                            <w:r>
                              <w:rPr>
                                <w:sz w:val="21"/>
                              </w:rPr>
                              <w:t>2020、2021</w:t>
                            </w:r>
                            <w:r>
                              <w:rPr>
                                <w:spacing w:val="-6"/>
                                <w:sz w:val="21"/>
                              </w:rPr>
                              <w:t xml:space="preserve"> 年度经审计的财务报表为准</w:t>
                            </w:r>
                            <w:r>
                              <w:rPr>
                                <w:sz w:val="21"/>
                              </w:rPr>
                              <w:t>（对于成立时间不足三年的投标人，以成立时间为准）</w:t>
                            </w:r>
                            <w:r>
                              <w:rPr>
                                <w:spacing w:val="2"/>
                                <w:sz w:val="21"/>
                              </w:rPr>
                              <w:t>、单</w:t>
                            </w:r>
                          </w:p>
                          <w:p>
                            <w:pPr>
                              <w:spacing w:before="3"/>
                              <w:ind w:left="149" w:right="0" w:firstLine="0"/>
                              <w:jc w:val="left"/>
                              <w:rPr>
                                <w:sz w:val="21"/>
                              </w:rPr>
                            </w:pPr>
                            <w:r>
                              <w:rPr>
                                <w:sz w:val="21"/>
                              </w:rPr>
                              <w:t>位自 2021 年 7 月 1 日以来连续六个月的缴纳税收和社会保障金的证明材料。</w:t>
                            </w:r>
                          </w:p>
                        </w:txbxContent>
                      </wps:txbx>
                      <wps:bodyPr lIns="0" tIns="0" rIns="0" bIns="0" upright="1"/>
                    </wps:wsp>
                  </a:graphicData>
                </a:graphic>
              </wp:anchor>
            </w:drawing>
          </mc:Choice>
          <mc:Fallback>
            <w:pict>
              <v:shape id="文本框 11" o:spid="_x0000_s1026" o:spt="202" type="#_x0000_t202" style="position:absolute;left:0pt;margin-left:76.85pt;margin-top:9.75pt;height:189.1pt;width:441.6pt;mso-position-horizontal-relative:page;mso-wrap-distance-bottom:0pt;mso-wrap-distance-top:0pt;z-index:-251611136;mso-width-relative:page;mso-height-relative:page;" filled="f" stroked="f" coordsize="21600,21600" o:gfxdata="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9V9NA2QAAAAsBAAAPAAAAAAAAAAEAIAAAACIAAABkcnMvZG93bnJldi54bWxQ&#10;SwECFAAUAAAACACHTuJAoHIN+L0BAAB1AwAADgAAAAAAAAABACAAAAAoAQAAZHJzL2Uyb0RvYy54&#10;bWxQSwUGAAAAAAYABgBZAQAAVwUAAAAA&#10;">
                <v:fill on="f" focussize="0,0"/>
                <v:stroke on="f"/>
                <v:imagedata o:title=""/>
                <o:lock v:ext="edit" aspectratio="f"/>
                <v:textbox inset="0mm,0mm,0mm,0mm">
                  <w:txbxContent>
                    <w:p>
                      <w:pPr>
                        <w:pStyle w:val="5"/>
                        <w:spacing w:before="10"/>
                        <w:ind w:left="0"/>
                        <w:rPr>
                          <w:b/>
                          <w:sz w:val="28"/>
                        </w:rPr>
                      </w:pPr>
                    </w:p>
                    <w:p>
                      <w:pPr>
                        <w:spacing w:before="0" w:line="355" w:lineRule="auto"/>
                        <w:ind w:left="149" w:right="39" w:firstLine="477"/>
                        <w:jc w:val="left"/>
                        <w:rPr>
                          <w:sz w:val="21"/>
                        </w:rPr>
                      </w:pPr>
                      <w:r>
                        <w:rPr>
                          <w:spacing w:val="-6"/>
                          <w:sz w:val="21"/>
                        </w:rPr>
                        <w:t xml:space="preserve">近三年财务状况良好，没有财产被接管、冻结或处于亏损破产状况，须提供 </w:t>
                      </w:r>
                      <w:r>
                        <w:rPr>
                          <w:sz w:val="21"/>
                        </w:rPr>
                        <w:t>2019</w:t>
                      </w:r>
                      <w:r>
                        <w:rPr>
                          <w:spacing w:val="-20"/>
                          <w:sz w:val="21"/>
                        </w:rPr>
                        <w:t>、</w:t>
                      </w:r>
                      <w:r>
                        <w:rPr>
                          <w:sz w:val="21"/>
                        </w:rPr>
                        <w:t>2020、2021</w:t>
                      </w:r>
                      <w:r>
                        <w:rPr>
                          <w:spacing w:val="-6"/>
                          <w:sz w:val="21"/>
                        </w:rPr>
                        <w:t xml:space="preserve"> 年度经审计的财务报表为准</w:t>
                      </w:r>
                      <w:r>
                        <w:rPr>
                          <w:sz w:val="21"/>
                        </w:rPr>
                        <w:t>（对于成立时间不足三年的投标人，以成立时间为准）</w:t>
                      </w:r>
                      <w:r>
                        <w:rPr>
                          <w:spacing w:val="2"/>
                          <w:sz w:val="21"/>
                        </w:rPr>
                        <w:t>、单</w:t>
                      </w:r>
                    </w:p>
                    <w:p>
                      <w:pPr>
                        <w:spacing w:before="3"/>
                        <w:ind w:left="149" w:right="0" w:firstLine="0"/>
                        <w:jc w:val="left"/>
                        <w:rPr>
                          <w:sz w:val="21"/>
                        </w:rPr>
                      </w:pPr>
                      <w:r>
                        <w:rPr>
                          <w:sz w:val="21"/>
                        </w:rPr>
                        <w:t>位自 2021 年 7 月 1 日以来连续六个月的缴纳税收和社会保障金的证明材料。</w:t>
                      </w:r>
                    </w:p>
                  </w:txbxContent>
                </v:textbox>
                <w10:wrap type="topAndBottom"/>
              </v:shape>
            </w:pict>
          </mc:Fallback>
        </mc:AlternateContent>
      </w:r>
    </w:p>
    <w:p>
      <w:pPr>
        <w:spacing w:after="0"/>
        <w:rPr>
          <w:sz w:val="13"/>
        </w:rPr>
        <w:sectPr>
          <w:pgSz w:w="11910" w:h="16840"/>
          <w:pgMar w:top="1380" w:right="720" w:bottom="1080" w:left="820" w:header="746" w:footer="891" w:gutter="0"/>
          <w:cols w:space="720" w:num="1"/>
        </w:sectPr>
      </w:pPr>
    </w:p>
    <w:p>
      <w:pPr>
        <w:pStyle w:val="5"/>
        <w:ind w:left="0"/>
        <w:rPr>
          <w:b/>
          <w:sz w:val="20"/>
        </w:rPr>
      </w:pPr>
      <w:r>
        <mc:AlternateContent>
          <mc:Choice Requires="wps">
            <w:drawing>
              <wp:anchor distT="0" distB="0" distL="114300" distR="114300" simplePos="0" relativeHeight="251711488" behindDoc="0" locked="0" layoutInCell="1" allowOverlap="1">
                <wp:simplePos x="0" y="0"/>
                <wp:positionH relativeFrom="page">
                  <wp:posOffset>958215</wp:posOffset>
                </wp:positionH>
                <wp:positionV relativeFrom="page">
                  <wp:posOffset>3633470</wp:posOffset>
                </wp:positionV>
                <wp:extent cx="5643245" cy="0"/>
                <wp:effectExtent l="0" t="0" r="0" b="0"/>
                <wp:wrapNone/>
                <wp:docPr id="28" name="直线 12"/>
                <wp:cNvGraphicFramePr/>
                <a:graphic xmlns:a="http://schemas.openxmlformats.org/drawingml/2006/main">
                  <a:graphicData uri="http://schemas.microsoft.com/office/word/2010/wordprocessingShape">
                    <wps:wsp>
                      <wps:cNvCnPr/>
                      <wps:spPr>
                        <a:xfrm>
                          <a:off x="0" y="0"/>
                          <a:ext cx="5643245"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12" o:spid="_x0000_s1026" o:spt="20" style="position:absolute;left:0pt;margin-left:75.45pt;margin-top:286.1pt;height:0pt;width:444.35pt;mso-position-horizontal-relative:page;mso-position-vertical-relative:page;z-index:251711488;mso-width-relative:page;mso-height-relative:page;" filled="f" stroked="t" coordsize="21600,21600" o:gfxdata="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E&#10;ZOLXAAAADAEAAA8AAAAAAAAAAQAgAAAAIgAAAGRycy9kb3ducmV2LnhtbFBLAQIUABQAAAAIAIdO&#10;4kBCWTcK6wEAAN4DAAAOAAAAAAAAAAEAIAAAACYBAABkcnMvZTJvRG9jLnhtbFBLBQYAAAAABgAG&#10;AFkBAACDBQAAAAA=&#10;">
                <v:fill on="f" focussize="0,0"/>
                <v:stroke weight="1.44pt" color="#000000" joinstyle="round"/>
                <v:imagedata o:title=""/>
                <o:lock v:ext="edit" aspectratio="f"/>
              </v:line>
            </w:pict>
          </mc:Fallback>
        </mc:AlternateContent>
      </w:r>
    </w:p>
    <w:p>
      <w:pPr>
        <w:pStyle w:val="5"/>
        <w:spacing w:before="8"/>
        <w:ind w:left="0"/>
        <w:rPr>
          <w:b/>
          <w:sz w:val="22"/>
        </w:rPr>
      </w:pPr>
    </w:p>
    <w:p>
      <w:pPr>
        <w:pStyle w:val="4"/>
        <w:spacing w:before="66"/>
        <w:ind w:left="258" w:right="360"/>
        <w:jc w:val="center"/>
      </w:pPr>
      <w:r>
        <mc:AlternateContent>
          <mc:Choice Requires="wps">
            <w:drawing>
              <wp:anchor distT="0" distB="0" distL="114300" distR="114300" simplePos="0" relativeHeight="251712512" behindDoc="0" locked="0" layoutInCell="1" allowOverlap="1">
                <wp:simplePos x="0" y="0"/>
                <wp:positionH relativeFrom="page">
                  <wp:posOffset>976630</wp:posOffset>
                </wp:positionH>
                <wp:positionV relativeFrom="paragraph">
                  <wp:posOffset>879475</wp:posOffset>
                </wp:positionV>
                <wp:extent cx="5607050" cy="0"/>
                <wp:effectExtent l="0" t="0" r="0" b="0"/>
                <wp:wrapNone/>
                <wp:docPr id="29" name="直线 13"/>
                <wp:cNvGraphicFramePr/>
                <a:graphic xmlns:a="http://schemas.openxmlformats.org/drawingml/2006/main">
                  <a:graphicData uri="http://schemas.microsoft.com/office/word/2010/wordprocessingShape">
                    <wps:wsp>
                      <wps:cNvCnPr/>
                      <wps:spPr>
                        <a:xfrm>
                          <a:off x="0" y="0"/>
                          <a:ext cx="560705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76.9pt;margin-top:69.25pt;height:0pt;width:441.5pt;mso-position-horizontal-relative:page;z-index:251712512;mso-width-relative:page;mso-height-relative:page;" filled="f" stroked="t" coordsize="21600,21600" o:gfxdata="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7rf&#10;SdYAAAAMAQAADwAAAAAAAAABACAAAAAiAAAAZHJzL2Rvd25yZXYueG1sUEsBAhQAFAAAAAgAh07i&#10;QPIJR0frAQAA3QMAAA4AAAAAAAAAAQAgAAAAJQEAAGRycy9lMm9Eb2MueG1sUEsFBgAAAAAGAAYA&#10;WQEAAIIFAAAAAA==&#10;">
                <v:fill on="f" focussize="0,0"/>
                <v:stroke weight="0.72pt" color="#000000" joinstyle="round"/>
                <v:imagedata o:title=""/>
                <o:lock v:ext="edit" aspectratio="f"/>
              </v:line>
            </w:pict>
          </mc:Fallback>
        </mc:AlternateContent>
      </w:r>
      <w:bookmarkStart w:id="6" w:name="附录3资格审查条件(业绩最低要求)"/>
      <w:bookmarkEnd w:id="6"/>
      <w:bookmarkStart w:id="7" w:name="附录4 资格审查条件(信誉最低要求)"/>
      <w:bookmarkEnd w:id="7"/>
      <w:r>
        <w:t>附录 3 资格审查条件(业绩最低要求)</w:t>
      </w:r>
    </w:p>
    <w:p>
      <w:pPr>
        <w:pStyle w:val="5"/>
        <w:spacing w:before="4"/>
        <w:ind w:left="0"/>
        <w:rPr>
          <w:b/>
          <w:sz w:val="23"/>
        </w:rPr>
      </w:pPr>
      <w:r>
        <mc:AlternateContent>
          <mc:Choice Requires="wps">
            <w:drawing>
              <wp:anchor distT="0" distB="0" distL="0" distR="0" simplePos="0" relativeHeight="251708416" behindDoc="1" locked="0" layoutInCell="1" allowOverlap="1">
                <wp:simplePos x="0" y="0"/>
                <wp:positionH relativeFrom="page">
                  <wp:posOffset>958215</wp:posOffset>
                </wp:positionH>
                <wp:positionV relativeFrom="paragraph">
                  <wp:posOffset>224155</wp:posOffset>
                </wp:positionV>
                <wp:extent cx="5643245" cy="0"/>
                <wp:effectExtent l="0" t="0" r="0" b="0"/>
                <wp:wrapTopAndBottom/>
                <wp:docPr id="25" name="直线 14"/>
                <wp:cNvGraphicFramePr/>
                <a:graphic xmlns:a="http://schemas.openxmlformats.org/drawingml/2006/main">
                  <a:graphicData uri="http://schemas.microsoft.com/office/word/2010/wordprocessingShape">
                    <wps:wsp>
                      <wps:cNvCnPr/>
                      <wps:spPr>
                        <a:xfrm>
                          <a:off x="0" y="0"/>
                          <a:ext cx="5643245" cy="0"/>
                        </a:xfrm>
                        <a:prstGeom prst="line">
                          <a:avLst/>
                        </a:prstGeom>
                        <a:ln w="18288"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75.45pt;margin-top:17.65pt;height:0pt;width:444.35pt;mso-position-horizontal-relative:page;mso-wrap-distance-bottom:0pt;mso-wrap-distance-top:0pt;z-index:-251608064;mso-width-relative:page;mso-height-relative:page;" filled="f" stroked="t" coordsize="21600,21600" o:gfxdata="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Gf4zr&#10;1QAAAAoBAAAPAAAAAAAAAAEAIAAAACIAAABkcnMvZG93bnJldi54bWxQSwECFAAUAAAACACHTuJA&#10;8dP1qusBAADeAwAADgAAAAAAAAABACAAAAAkAQAAZHJzL2Uyb0RvYy54bWxQSwUGAAAAAAYABgBZ&#10;AQAAgQUAAAAA&#10;">
                <v:fill on="f" focussize="0,0"/>
                <v:stroke weight="1.44pt" color="#000000" joinstyle="round"/>
                <v:imagedata o:title=""/>
                <o:lock v:ext="edit" aspectratio="f"/>
                <w10:wrap type="topAndBottom"/>
              </v:line>
            </w:pict>
          </mc:Fallback>
        </mc:AlternateContent>
      </w:r>
      <w:r>
        <mc:AlternateContent>
          <mc:Choice Requires="wps">
            <w:drawing>
              <wp:anchor distT="0" distB="0" distL="0" distR="0" simplePos="0" relativeHeight="251709440" behindDoc="1" locked="0" layoutInCell="1" allowOverlap="1">
                <wp:simplePos x="0" y="0"/>
                <wp:positionH relativeFrom="page">
                  <wp:posOffset>3515360</wp:posOffset>
                </wp:positionH>
                <wp:positionV relativeFrom="paragraph">
                  <wp:posOffset>349250</wp:posOffset>
                </wp:positionV>
                <wp:extent cx="544830" cy="132715"/>
                <wp:effectExtent l="0" t="0" r="0" b="0"/>
                <wp:wrapTopAndBottom/>
                <wp:docPr id="26" name="文本框 15"/>
                <wp:cNvGraphicFramePr/>
                <a:graphic xmlns:a="http://schemas.openxmlformats.org/drawingml/2006/main">
                  <a:graphicData uri="http://schemas.microsoft.com/office/word/2010/wordprocessingShape">
                    <wps:wsp>
                      <wps:cNvSpPr txBox="1"/>
                      <wps:spPr>
                        <a:xfrm>
                          <a:off x="0" y="0"/>
                          <a:ext cx="544830" cy="132715"/>
                        </a:xfrm>
                        <a:prstGeom prst="rect">
                          <a:avLst/>
                        </a:prstGeom>
                        <a:noFill/>
                        <a:ln>
                          <a:noFill/>
                        </a:ln>
                      </wps:spPr>
                      <wps:txbx>
                        <w:txbxContent>
                          <w:p>
                            <w:pPr>
                              <w:spacing w:before="0" w:line="209" w:lineRule="exact"/>
                              <w:ind w:left="0" w:right="0" w:firstLine="0"/>
                              <w:jc w:val="left"/>
                              <w:rPr>
                                <w:sz w:val="21"/>
                              </w:rPr>
                            </w:pPr>
                            <w:r>
                              <w:rPr>
                                <w:sz w:val="21"/>
                              </w:rPr>
                              <w:t>业绩要求</w:t>
                            </w:r>
                          </w:p>
                        </w:txbxContent>
                      </wps:txbx>
                      <wps:bodyPr lIns="0" tIns="0" rIns="0" bIns="0" upright="1"/>
                    </wps:wsp>
                  </a:graphicData>
                </a:graphic>
              </wp:anchor>
            </w:drawing>
          </mc:Choice>
          <mc:Fallback>
            <w:pict>
              <v:shape id="文本框 15" o:spid="_x0000_s1026" o:spt="202" type="#_x0000_t202" style="position:absolute;left:0pt;margin-left:276.8pt;margin-top:27.5pt;height:10.45pt;width:42.9pt;mso-position-horizontal-relative:page;mso-wrap-distance-bottom:0pt;mso-wrap-distance-top:0pt;z-index:-251607040;mso-width-relative:page;mso-height-relative:page;" filled="f" stroked="f" coordsize="21600,21600" o:gfxdata="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V+aOtgAAAAJAQAADwAAAAAAAAABACAAAAAiAAAAZHJzL2Rvd25yZXYueG1sUEsB&#10;AhQAFAAAAAgAh07iQDwSpJu8AQAAcwMAAA4AAAAAAAAAAQAgAAAAJwEAAGRycy9lMm9Eb2MueG1s&#10;UEsFBgAAAAAGAAYAWQEAAFUFAAAAAA==&#10;">
                <v:fill on="f" focussize="0,0"/>
                <v:stroke on="f"/>
                <v:imagedata o:title=""/>
                <o:lock v:ext="edit" aspectratio="f"/>
                <v:textbox inset="0mm,0mm,0mm,0mm">
                  <w:txbxContent>
                    <w:p>
                      <w:pPr>
                        <w:spacing w:before="0" w:line="209" w:lineRule="exact"/>
                        <w:ind w:left="0" w:right="0" w:firstLine="0"/>
                        <w:jc w:val="left"/>
                        <w:rPr>
                          <w:sz w:val="21"/>
                        </w:rPr>
                      </w:pPr>
                      <w:r>
                        <w:rPr>
                          <w:sz w:val="21"/>
                        </w:rPr>
                        <w:t>业绩要求</w:t>
                      </w:r>
                    </w:p>
                  </w:txbxContent>
                </v:textbox>
                <w10:wrap type="topAndBottom"/>
              </v:shape>
            </w:pict>
          </mc:Fallback>
        </mc:AlternateContent>
      </w:r>
      <w:r>
        <mc:AlternateContent>
          <mc:Choice Requires="wps">
            <w:drawing>
              <wp:anchor distT="0" distB="0" distL="0" distR="0" simplePos="0" relativeHeight="251710464" behindDoc="1" locked="0" layoutInCell="1" allowOverlap="1">
                <wp:simplePos x="0" y="0"/>
                <wp:positionH relativeFrom="page">
                  <wp:posOffset>976630</wp:posOffset>
                </wp:positionH>
                <wp:positionV relativeFrom="paragraph">
                  <wp:posOffset>647065</wp:posOffset>
                </wp:positionV>
                <wp:extent cx="5607685" cy="1517015"/>
                <wp:effectExtent l="0" t="0" r="0" b="0"/>
                <wp:wrapTopAndBottom/>
                <wp:docPr id="27" name="文本框 16"/>
                <wp:cNvGraphicFramePr/>
                <a:graphic xmlns:a="http://schemas.openxmlformats.org/drawingml/2006/main">
                  <a:graphicData uri="http://schemas.microsoft.com/office/word/2010/wordprocessingShape">
                    <wps:wsp>
                      <wps:cNvSpPr txBox="1"/>
                      <wps:spPr>
                        <a:xfrm>
                          <a:off x="0" y="0"/>
                          <a:ext cx="5607685" cy="1517015"/>
                        </a:xfrm>
                        <a:prstGeom prst="rect">
                          <a:avLst/>
                        </a:prstGeom>
                        <a:noFill/>
                        <a:ln>
                          <a:noFill/>
                        </a:ln>
                      </wps:spPr>
                      <wps:txbx>
                        <w:txbxContent>
                          <w:p>
                            <w:pPr>
                              <w:pStyle w:val="5"/>
                              <w:spacing w:before="10"/>
                              <w:ind w:left="0"/>
                              <w:rPr>
                                <w:b/>
                                <w:sz w:val="28"/>
                              </w:rPr>
                            </w:pPr>
                          </w:p>
                          <w:p>
                            <w:pPr>
                              <w:spacing w:before="0"/>
                              <w:ind w:left="628" w:right="0" w:firstLine="0"/>
                              <w:jc w:val="left"/>
                              <w:rPr>
                                <w:sz w:val="21"/>
                              </w:rPr>
                            </w:pPr>
                            <w:r>
                              <w:rPr>
                                <w:spacing w:val="-27"/>
                                <w:sz w:val="21"/>
                              </w:rPr>
                              <w:t xml:space="preserve">自 </w:t>
                            </w:r>
                            <w:r>
                              <w:rPr>
                                <w:sz w:val="21"/>
                              </w:rPr>
                              <w:t>2019</w:t>
                            </w:r>
                            <w:r>
                              <w:rPr>
                                <w:spacing w:val="-35"/>
                                <w:sz w:val="21"/>
                              </w:rPr>
                              <w:t xml:space="preserve"> 年 </w:t>
                            </w:r>
                            <w:r>
                              <w:rPr>
                                <w:sz w:val="21"/>
                              </w:rPr>
                              <w:t>6</w:t>
                            </w:r>
                            <w:r>
                              <w:rPr>
                                <w:spacing w:val="-34"/>
                                <w:sz w:val="21"/>
                              </w:rPr>
                              <w:t xml:space="preserve"> 月 </w:t>
                            </w:r>
                            <w:r>
                              <w:rPr>
                                <w:sz w:val="21"/>
                              </w:rPr>
                              <w:t>1</w:t>
                            </w:r>
                            <w:r>
                              <w:rPr>
                                <w:spacing w:val="-11"/>
                                <w:sz w:val="21"/>
                              </w:rPr>
                              <w:t xml:space="preserve"> 日以来的合同金额不低于标段招标控制价金额 </w:t>
                            </w:r>
                            <w:r>
                              <w:rPr>
                                <w:sz w:val="21"/>
                              </w:rPr>
                              <w:t>80%的类似项目业绩一份</w:t>
                            </w:r>
                          </w:p>
                          <w:p>
                            <w:pPr>
                              <w:spacing w:before="129"/>
                              <w:ind w:left="148" w:right="0" w:firstLine="0"/>
                              <w:jc w:val="left"/>
                              <w:rPr>
                                <w:sz w:val="21"/>
                              </w:rPr>
                            </w:pPr>
                            <w:r>
                              <w:rPr>
                                <w:sz w:val="21"/>
                              </w:rPr>
                              <w:t>（以合同签订时间为准，提供中标通知书、国家指定媒介的中标公示截图、合同协议书）。</w:t>
                            </w:r>
                          </w:p>
                        </w:txbxContent>
                      </wps:txbx>
                      <wps:bodyPr lIns="0" tIns="0" rIns="0" bIns="0" upright="1"/>
                    </wps:wsp>
                  </a:graphicData>
                </a:graphic>
              </wp:anchor>
            </w:drawing>
          </mc:Choice>
          <mc:Fallback>
            <w:pict>
              <v:shape id="文本框 16" o:spid="_x0000_s1026" o:spt="202" type="#_x0000_t202" style="position:absolute;left:0pt;margin-left:76.9pt;margin-top:50.95pt;height:119.45pt;width:441.55pt;mso-position-horizontal-relative:page;mso-wrap-distance-bottom:0pt;mso-wrap-distance-top:0pt;z-index:-251606016;mso-width-relative:page;mso-height-relative:page;" filled="f" stroked="f" coordsize="21600,21600" o:gfxdata="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18Yhu2QAAAAwBAAAPAAAAAAAAAAEAIAAAACIAAABkcnMvZG93bnJldi54bWxQ&#10;SwECFAAUAAAACACHTuJAlkZDhL0BAAB1AwAADgAAAAAAAAABACAAAAAoAQAAZHJzL2Uyb0RvYy54&#10;bWxQSwUGAAAAAAYABgBZAQAAVwUAAAAA&#10;">
                <v:fill on="f" focussize="0,0"/>
                <v:stroke on="f"/>
                <v:imagedata o:title=""/>
                <o:lock v:ext="edit" aspectratio="f"/>
                <v:textbox inset="0mm,0mm,0mm,0mm">
                  <w:txbxContent>
                    <w:p>
                      <w:pPr>
                        <w:pStyle w:val="5"/>
                        <w:spacing w:before="10"/>
                        <w:ind w:left="0"/>
                        <w:rPr>
                          <w:b/>
                          <w:sz w:val="28"/>
                        </w:rPr>
                      </w:pPr>
                    </w:p>
                    <w:p>
                      <w:pPr>
                        <w:spacing w:before="0"/>
                        <w:ind w:left="628" w:right="0" w:firstLine="0"/>
                        <w:jc w:val="left"/>
                        <w:rPr>
                          <w:sz w:val="21"/>
                        </w:rPr>
                      </w:pPr>
                      <w:r>
                        <w:rPr>
                          <w:spacing w:val="-27"/>
                          <w:sz w:val="21"/>
                        </w:rPr>
                        <w:t xml:space="preserve">自 </w:t>
                      </w:r>
                      <w:r>
                        <w:rPr>
                          <w:sz w:val="21"/>
                        </w:rPr>
                        <w:t>2019</w:t>
                      </w:r>
                      <w:r>
                        <w:rPr>
                          <w:spacing w:val="-35"/>
                          <w:sz w:val="21"/>
                        </w:rPr>
                        <w:t xml:space="preserve"> 年 </w:t>
                      </w:r>
                      <w:r>
                        <w:rPr>
                          <w:sz w:val="21"/>
                        </w:rPr>
                        <w:t>6</w:t>
                      </w:r>
                      <w:r>
                        <w:rPr>
                          <w:spacing w:val="-34"/>
                          <w:sz w:val="21"/>
                        </w:rPr>
                        <w:t xml:space="preserve"> 月 </w:t>
                      </w:r>
                      <w:r>
                        <w:rPr>
                          <w:sz w:val="21"/>
                        </w:rPr>
                        <w:t>1</w:t>
                      </w:r>
                      <w:r>
                        <w:rPr>
                          <w:spacing w:val="-11"/>
                          <w:sz w:val="21"/>
                        </w:rPr>
                        <w:t xml:space="preserve"> 日以来的合同金额不低于标段招标控制价金额 </w:t>
                      </w:r>
                      <w:r>
                        <w:rPr>
                          <w:sz w:val="21"/>
                        </w:rPr>
                        <w:t>80%的类似项目业绩一份</w:t>
                      </w:r>
                    </w:p>
                    <w:p>
                      <w:pPr>
                        <w:spacing w:before="129"/>
                        <w:ind w:left="148" w:right="0" w:firstLine="0"/>
                        <w:jc w:val="left"/>
                        <w:rPr>
                          <w:sz w:val="21"/>
                        </w:rPr>
                      </w:pPr>
                      <w:r>
                        <w:rPr>
                          <w:sz w:val="21"/>
                        </w:rPr>
                        <w:t>（以合同签订时间为准，提供中标通知书、国家指定媒介的中标公示截图、合同协议书）。</w:t>
                      </w:r>
                    </w:p>
                  </w:txbxContent>
                </v:textbox>
                <w10:wrap type="topAndBottom"/>
              </v:shape>
            </w:pict>
          </mc:Fallback>
        </mc:AlternateContent>
      </w:r>
    </w:p>
    <w:p>
      <w:pPr>
        <w:pStyle w:val="5"/>
        <w:ind w:left="0"/>
        <w:rPr>
          <w:b/>
          <w:sz w:val="10"/>
        </w:rPr>
      </w:pPr>
    </w:p>
    <w:p>
      <w:pPr>
        <w:pStyle w:val="5"/>
        <w:spacing w:before="3"/>
        <w:ind w:left="0"/>
        <w:rPr>
          <w:b/>
          <w:sz w:val="17"/>
        </w:rPr>
      </w:pPr>
    </w:p>
    <w:p>
      <w:pPr>
        <w:spacing w:after="0"/>
        <w:rPr>
          <w:sz w:val="17"/>
        </w:rPr>
        <w:sectPr>
          <w:pgSz w:w="11910" w:h="16840"/>
          <w:pgMar w:top="1380" w:right="720" w:bottom="1080" w:left="820" w:header="746" w:footer="891" w:gutter="0"/>
          <w:cols w:space="720" w:num="1"/>
        </w:sectPr>
      </w:pPr>
    </w:p>
    <w:p>
      <w:pPr>
        <w:pStyle w:val="5"/>
        <w:spacing w:before="5"/>
        <w:ind w:left="0"/>
        <w:rPr>
          <w:b/>
          <w:sz w:val="13"/>
        </w:rPr>
      </w:pPr>
    </w:p>
    <w:p>
      <w:pPr>
        <w:pStyle w:val="4"/>
        <w:spacing w:before="67"/>
        <w:ind w:left="259" w:right="360"/>
        <w:jc w:val="center"/>
      </w:pPr>
      <w:bookmarkStart w:id="8" w:name="附录 5 资格审查条件(项目经理和项目总工最低要求)"/>
      <w:bookmarkEnd w:id="8"/>
      <w:r>
        <w:t>附录 4 资格审查条件(信誉最低要求)</w:t>
      </w:r>
    </w:p>
    <w:p>
      <w:pPr>
        <w:pStyle w:val="5"/>
        <w:ind w:left="0"/>
        <w:rPr>
          <w:b/>
        </w:rPr>
      </w:pPr>
    </w:p>
    <w:p>
      <w:pPr>
        <w:pStyle w:val="5"/>
        <w:ind w:left="0"/>
        <w:rPr>
          <w:b/>
        </w:rPr>
      </w:pPr>
    </w:p>
    <w:p>
      <w:pPr>
        <w:spacing w:before="163"/>
        <w:ind w:left="267" w:right="360" w:firstLine="0"/>
        <w:jc w:val="center"/>
        <w:rPr>
          <w:sz w:val="21"/>
        </w:rPr>
      </w:pPr>
      <w:r>
        <mc:AlternateContent>
          <mc:Choice Requires="wpg">
            <w:drawing>
              <wp:anchor distT="0" distB="0" distL="114300" distR="114300" simplePos="0" relativeHeight="251674624" behindDoc="1" locked="0" layoutInCell="1" allowOverlap="1">
                <wp:simplePos x="0" y="0"/>
                <wp:positionH relativeFrom="page">
                  <wp:posOffset>957580</wp:posOffset>
                </wp:positionH>
                <wp:positionV relativeFrom="paragraph">
                  <wp:posOffset>-10160</wp:posOffset>
                </wp:positionV>
                <wp:extent cx="5644515" cy="5948045"/>
                <wp:effectExtent l="635" t="635" r="12700" b="13970"/>
                <wp:wrapNone/>
                <wp:docPr id="5" name="组合 17"/>
                <wp:cNvGraphicFramePr/>
                <a:graphic xmlns:a="http://schemas.openxmlformats.org/drawingml/2006/main">
                  <a:graphicData uri="http://schemas.microsoft.com/office/word/2010/wordprocessingGroup">
                    <wpg:wgp>
                      <wpg:cNvGrpSpPr/>
                      <wpg:grpSpPr>
                        <a:xfrm>
                          <a:off x="0" y="0"/>
                          <a:ext cx="5644515" cy="5948045"/>
                          <a:chOff x="1509" y="-17"/>
                          <a:chExt cx="8889" cy="9367"/>
                        </a:xfrm>
                      </wpg:grpSpPr>
                      <wps:wsp>
                        <wps:cNvPr id="2" name="任意多边形 18"/>
                        <wps:cNvSpPr/>
                        <wps:spPr>
                          <a:xfrm>
                            <a:off x="1508" y="2421"/>
                            <a:ext cx="8889" cy="9338"/>
                          </a:xfrm>
                          <a:custGeom>
                            <a:avLst/>
                            <a:gdLst/>
                            <a:ahLst/>
                            <a:cxnLst/>
                            <a:pathLst>
                              <a:path w="8889" h="9338">
                                <a:moveTo>
                                  <a:pt x="0" y="-2423"/>
                                </a:moveTo>
                                <a:lnTo>
                                  <a:pt x="8888" y="-2423"/>
                                </a:lnTo>
                                <a:moveTo>
                                  <a:pt x="0" y="6915"/>
                                </a:moveTo>
                                <a:lnTo>
                                  <a:pt x="8888" y="6915"/>
                                </a:lnTo>
                              </a:path>
                            </a:pathLst>
                          </a:custGeom>
                          <a:noFill/>
                          <a:ln w="18288" cap="flat" cmpd="sng">
                            <a:solidFill>
                              <a:srgbClr val="000000"/>
                            </a:solidFill>
                            <a:prstDash val="solid"/>
                            <a:headEnd type="none" w="med" len="med"/>
                            <a:tailEnd type="none" w="med" len="med"/>
                          </a:ln>
                        </wps:spPr>
                        <wps:bodyPr upright="1"/>
                      </wps:wsp>
                      <wps:wsp>
                        <wps:cNvPr id="3" name="直线 19"/>
                        <wps:cNvCnPr/>
                        <wps:spPr>
                          <a:xfrm>
                            <a:off x="1537" y="740"/>
                            <a:ext cx="8832" cy="0"/>
                          </a:xfrm>
                          <a:prstGeom prst="line">
                            <a:avLst/>
                          </a:prstGeom>
                          <a:ln w="9144" cap="flat" cmpd="sng">
                            <a:solidFill>
                              <a:srgbClr val="000000"/>
                            </a:solidFill>
                            <a:prstDash val="solid"/>
                            <a:headEnd type="none" w="med" len="med"/>
                            <a:tailEnd type="none" w="med" len="med"/>
                          </a:ln>
                        </wps:spPr>
                        <wps:bodyPr upright="1"/>
                      </wps:wsp>
                      <wps:wsp>
                        <wps:cNvPr id="4" name="任意多边形 20"/>
                        <wps:cNvSpPr/>
                        <wps:spPr>
                          <a:xfrm>
                            <a:off x="1523" y="2406"/>
                            <a:ext cx="8860" cy="9367"/>
                          </a:xfrm>
                          <a:custGeom>
                            <a:avLst/>
                            <a:gdLst/>
                            <a:ahLst/>
                            <a:cxnLst/>
                            <a:pathLst>
                              <a:path w="8860" h="9367">
                                <a:moveTo>
                                  <a:pt x="0" y="-2424"/>
                                </a:moveTo>
                                <a:lnTo>
                                  <a:pt x="0" y="6943"/>
                                </a:lnTo>
                                <a:moveTo>
                                  <a:pt x="8860" y="-2395"/>
                                </a:moveTo>
                                <a:lnTo>
                                  <a:pt x="8860" y="6943"/>
                                </a:lnTo>
                              </a:path>
                            </a:pathLst>
                          </a:custGeom>
                          <a:noFill/>
                          <a:ln w="18288" cap="flat" cmpd="sng">
                            <a:solidFill>
                              <a:srgbClr val="000000"/>
                            </a:solidFill>
                            <a:prstDash val="solid"/>
                            <a:headEnd type="none" w="med" len="med"/>
                            <a:tailEnd type="none" w="med" len="med"/>
                          </a:ln>
                        </wps:spPr>
                        <wps:bodyPr upright="1"/>
                      </wps:wsp>
                    </wpg:wgp>
                  </a:graphicData>
                </a:graphic>
              </wp:anchor>
            </w:drawing>
          </mc:Choice>
          <mc:Fallback>
            <w:pict>
              <v:group id="组合 17" o:spid="_x0000_s1026" o:spt="203" style="position:absolute;left:0pt;margin-left:75.4pt;margin-top:-0.8pt;height:468.35pt;width:444.45pt;mso-position-horizontal-relative:page;z-index:-251641856;mso-width-relative:page;mso-height-relative:page;" coordorigin="1509,-17" coordsize="8889,9367" o:gfxdata="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">
                <o:lock v:ext="edit" aspectratio="f"/>
                <v:shape id="任意多边形 18" o:spid="_x0000_s1026" o:spt="100" style="position:absolute;left:1508;top:2421;height:9338;width:8889;" filled="f" stroked="t" coordsize="8889,9338" o:gfxdata="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kgr9ugAAANoA&#10;AAAPAAAAAAAAAAEAIAAAACIAAABkcnMvZG93bnJldi54bWxQSwECFAAUAAAACACHTuJAMy8FnjsA&#10;AAA5AAAAEAAAAAAAAAABACAAAAAJAQAAZHJzL3NoYXBleG1sLnhtbFBLBQYAAAAABgAGAFsBAACz&#10;AwAAAAA=&#10;" path="m0,-2423l8888,-2423m0,6915l8888,6915e">
                  <v:fill on="f" focussize="0,0"/>
                  <v:stroke weight="1.44pt" color="#000000" joinstyle="round"/>
                  <v:imagedata o:title=""/>
                  <o:lock v:ext="edit" aspectratio="f"/>
                </v:shape>
                <v:line id="直线 19" o:spid="_x0000_s1026" o:spt="20" style="position:absolute;left:1537;top:740;height:0;width:8832;" filled="f" stroked="t" coordsize="21600,21600" o:gfxdata="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jcaO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shape id="任意多边形 20" o:spid="_x0000_s1026" o:spt="100" style="position:absolute;left:1523;top:2406;height:9367;width:8860;" filled="f" stroked="t" coordsize="8860,9367" o:gfxdata="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bMCovQAA&#10;ANoAAAAPAAAAAAAAAAEAIAAAACIAAABkcnMvZG93bnJldi54bWxQSwECFAAUAAAACACHTuJAMy8F&#10;njsAAAA5AAAAEAAAAAAAAAABACAAAAAMAQAAZHJzL3NoYXBleG1sLnhtbFBLBQYAAAAABgAGAFsB&#10;AAC2AwAAAAA=&#10;" path="m0,-2424l0,6943m8860,-2395l8860,6943e">
                  <v:fill on="f" focussize="0,0"/>
                  <v:stroke weight="1.44pt" color="#000000" joinstyle="round"/>
                  <v:imagedata o:title=""/>
                  <o:lock v:ext="edit" aspectratio="f"/>
                </v:shape>
              </v:group>
            </w:pict>
          </mc:Fallback>
        </mc:AlternateContent>
      </w:r>
      <w:r>
        <w:rPr>
          <w:sz w:val="21"/>
        </w:rPr>
        <w:t>信誉要求</w:t>
      </w:r>
    </w:p>
    <w:p>
      <w:pPr>
        <w:pStyle w:val="5"/>
        <w:spacing w:before="6"/>
        <w:ind w:left="0"/>
      </w:pPr>
    </w:p>
    <w:p>
      <w:pPr>
        <w:spacing w:before="1" w:line="364" w:lineRule="auto"/>
        <w:ind w:left="718" w:right="817" w:firstLine="0"/>
        <w:jc w:val="both"/>
        <w:rPr>
          <w:sz w:val="21"/>
        </w:rPr>
      </w:pPr>
      <w:r>
        <w:rPr>
          <w:w w:val="95"/>
          <w:sz w:val="21"/>
        </w:rPr>
        <w:t>1</w:t>
      </w:r>
      <w:r>
        <w:rPr>
          <w:spacing w:val="-8"/>
          <w:w w:val="95"/>
          <w:sz w:val="21"/>
        </w:rPr>
        <w:t>、须提供通过“信用中国”网站</w:t>
      </w:r>
      <w:r>
        <w:rPr>
          <w:w w:val="95"/>
          <w:sz w:val="21"/>
        </w:rPr>
        <w:t>（</w:t>
      </w:r>
      <w:r>
        <w:fldChar w:fldCharType="begin"/>
      </w:r>
      <w:r>
        <w:instrText xml:space="preserve"> HYPERLINK "http://www.creditchina.gov.cn/" \h </w:instrText>
      </w:r>
      <w:r>
        <w:fldChar w:fldCharType="separate"/>
      </w:r>
      <w:r>
        <w:rPr>
          <w:w w:val="95"/>
          <w:sz w:val="21"/>
        </w:rPr>
        <w:t>www.creditchina.gov.cn</w:t>
      </w:r>
      <w:r>
        <w:rPr>
          <w:w w:val="95"/>
          <w:sz w:val="21"/>
        </w:rPr>
        <w:fldChar w:fldCharType="end"/>
      </w:r>
      <w:r>
        <w:rPr>
          <w:w w:val="95"/>
          <w:sz w:val="21"/>
        </w:rPr>
        <w:t xml:space="preserve">）查询企业信用记录的彩色网页打印   </w:t>
      </w:r>
      <w:r>
        <w:rPr>
          <w:sz w:val="21"/>
        </w:rPr>
        <w:t>件，列入失信被执行人、重大税收违法案件当事人名单、政府采购严重违法失信行为记录名单的投标单位，不得参与本次招标活动；</w:t>
      </w:r>
    </w:p>
    <w:p>
      <w:pPr>
        <w:spacing w:before="0" w:line="364" w:lineRule="auto"/>
        <w:ind w:left="718" w:right="817" w:firstLine="0"/>
        <w:jc w:val="both"/>
        <w:rPr>
          <w:sz w:val="21"/>
        </w:rPr>
      </w:pPr>
      <w:r>
        <w:rPr>
          <w:spacing w:val="-1"/>
          <w:w w:val="95"/>
          <w:sz w:val="21"/>
        </w:rPr>
        <w:t>2</w:t>
      </w:r>
      <w:r>
        <w:rPr>
          <w:spacing w:val="-8"/>
          <w:w w:val="95"/>
          <w:sz w:val="21"/>
        </w:rPr>
        <w:t>、须提供“中国执行信息公开网</w:t>
      </w:r>
      <w:r>
        <w:rPr>
          <w:w w:val="95"/>
          <w:sz w:val="21"/>
        </w:rPr>
        <w:t>（</w:t>
      </w:r>
      <w:r>
        <w:fldChar w:fldCharType="begin"/>
      </w:r>
      <w:r>
        <w:instrText xml:space="preserve"> HYPERLINK "http://zxgk.court.gov.cn/shixin/" \h </w:instrText>
      </w:r>
      <w:r>
        <w:fldChar w:fldCharType="separate"/>
      </w:r>
      <w:r>
        <w:rPr>
          <w:w w:val="95"/>
          <w:sz w:val="21"/>
        </w:rPr>
        <w:t>http://zxgk.court.gov.cn/shixin/</w:t>
      </w:r>
      <w:r>
        <w:rPr>
          <w:w w:val="95"/>
          <w:sz w:val="21"/>
        </w:rPr>
        <w:fldChar w:fldCharType="end"/>
      </w:r>
      <w:r>
        <w:rPr>
          <w:w w:val="95"/>
          <w:sz w:val="21"/>
        </w:rPr>
        <w:t xml:space="preserve">）”查询记录的网页打印   </w:t>
      </w:r>
      <w:r>
        <w:rPr>
          <w:sz w:val="21"/>
        </w:rPr>
        <w:t>件（查询对象：企业、法定代表人、项目经理及备选项目经理、项目总工程师及项目总工程师备选人、授权委托人）。凡被列入的，依法限制其参与投标和工程建设。</w:t>
      </w:r>
    </w:p>
    <w:p>
      <w:pPr>
        <w:spacing w:before="0" w:line="364" w:lineRule="auto"/>
        <w:ind w:left="718" w:right="713" w:firstLine="0"/>
        <w:jc w:val="left"/>
        <w:rPr>
          <w:sz w:val="21"/>
        </w:rPr>
      </w:pPr>
      <w:r>
        <w:rPr>
          <w:spacing w:val="1"/>
          <w:w w:val="99"/>
          <w:sz w:val="21"/>
        </w:rPr>
        <w:t>3</w:t>
      </w:r>
      <w:r>
        <w:rPr>
          <w:spacing w:val="-13"/>
          <w:w w:val="99"/>
          <w:sz w:val="21"/>
        </w:rPr>
        <w:t>、投标人应进入交通运输部“全国公路建设市场信用信息管理系统</w:t>
      </w:r>
      <w:r>
        <w:rPr>
          <w:spacing w:val="-1"/>
          <w:w w:val="99"/>
          <w:sz w:val="21"/>
        </w:rPr>
        <w:t>（</w:t>
      </w:r>
      <w:r>
        <w:rPr>
          <w:spacing w:val="1"/>
          <w:w w:val="99"/>
          <w:sz w:val="21"/>
        </w:rPr>
        <w:t>htt</w:t>
      </w:r>
      <w:r>
        <w:rPr>
          <w:spacing w:val="-2"/>
          <w:w w:val="99"/>
          <w:sz w:val="21"/>
        </w:rPr>
        <w:t>p</w:t>
      </w:r>
      <w:r>
        <w:rPr>
          <w:spacing w:val="-49"/>
          <w:w w:val="99"/>
          <w:sz w:val="21"/>
        </w:rPr>
        <w:t>：</w:t>
      </w:r>
      <w:r>
        <w:rPr>
          <w:spacing w:val="1"/>
          <w:w w:val="99"/>
          <w:sz w:val="21"/>
        </w:rPr>
        <w:t>//</w:t>
      </w:r>
      <w:r>
        <w:rPr>
          <w:spacing w:val="-2"/>
          <w:w w:val="99"/>
          <w:sz w:val="21"/>
        </w:rPr>
        <w:t>g</w:t>
      </w:r>
      <w:r>
        <w:rPr>
          <w:spacing w:val="1"/>
          <w:w w:val="99"/>
          <w:sz w:val="21"/>
        </w:rPr>
        <w:t>lxy</w:t>
      </w:r>
      <w:r>
        <w:rPr>
          <w:spacing w:val="-2"/>
          <w:w w:val="99"/>
          <w:sz w:val="21"/>
        </w:rPr>
        <w:t>.</w:t>
      </w:r>
      <w:r>
        <w:rPr>
          <w:spacing w:val="1"/>
          <w:w w:val="99"/>
          <w:sz w:val="21"/>
        </w:rPr>
        <w:t>mot</w:t>
      </w:r>
      <w:r>
        <w:rPr>
          <w:spacing w:val="-2"/>
          <w:w w:val="99"/>
          <w:sz w:val="21"/>
        </w:rPr>
        <w:t>.</w:t>
      </w:r>
      <w:r>
        <w:rPr>
          <w:spacing w:val="1"/>
          <w:w w:val="99"/>
          <w:sz w:val="21"/>
        </w:rPr>
        <w:t>gov</w:t>
      </w:r>
      <w:r>
        <w:rPr>
          <w:spacing w:val="-2"/>
          <w:w w:val="99"/>
          <w:sz w:val="21"/>
        </w:rPr>
        <w:t>.</w:t>
      </w:r>
      <w:r>
        <w:rPr>
          <w:spacing w:val="1"/>
          <w:w w:val="99"/>
          <w:sz w:val="21"/>
        </w:rPr>
        <w:t>c</w:t>
      </w:r>
      <w:r>
        <w:rPr>
          <w:spacing w:val="-2"/>
          <w:w w:val="99"/>
          <w:sz w:val="21"/>
        </w:rPr>
        <w:t>n</w:t>
      </w:r>
      <w:r>
        <w:rPr>
          <w:spacing w:val="-104"/>
          <w:w w:val="99"/>
          <w:sz w:val="21"/>
        </w:rPr>
        <w:t>）</w:t>
      </w:r>
      <w:r>
        <w:rPr>
          <w:w w:val="99"/>
          <w:sz w:val="21"/>
        </w:rPr>
        <w:t>”</w:t>
      </w:r>
      <w:r>
        <w:rPr>
          <w:sz w:val="21"/>
        </w:rPr>
        <w:t>中的公路工程施工资质企业名录，且申请人名称和资质与该名录中的相应企业名称和资质完全一致。申请人不满足本项规定条件的，投标被否决。</w:t>
      </w:r>
    </w:p>
    <w:p>
      <w:pPr>
        <w:spacing w:before="0" w:line="364" w:lineRule="auto"/>
        <w:ind w:left="718" w:right="819" w:firstLine="0"/>
        <w:jc w:val="both"/>
        <w:rPr>
          <w:sz w:val="21"/>
        </w:rPr>
      </w:pPr>
      <w:r>
        <w:rPr>
          <w:w w:val="95"/>
          <w:sz w:val="21"/>
        </w:rPr>
        <w:t>4</w:t>
      </w:r>
      <w:r>
        <w:rPr>
          <w:spacing w:val="-9"/>
          <w:w w:val="95"/>
          <w:sz w:val="21"/>
        </w:rPr>
        <w:t xml:space="preserve">、根据《河南省公路建设市场从业单位及人员信用管理办法》精神，本次不接受河南省公路建设   </w:t>
      </w:r>
      <w:r>
        <w:rPr>
          <w:spacing w:val="-13"/>
          <w:sz w:val="21"/>
        </w:rPr>
        <w:t xml:space="preserve">施工企业信用等级被评定为 </w:t>
      </w:r>
      <w:r>
        <w:rPr>
          <w:sz w:val="21"/>
        </w:rPr>
        <w:t>D</w:t>
      </w:r>
      <w:r>
        <w:rPr>
          <w:spacing w:val="-8"/>
          <w:sz w:val="21"/>
        </w:rPr>
        <w:t xml:space="preserve"> 级和处于行业主管部门“黑名单”处罚期内的企业申请。根据《关</w:t>
      </w:r>
      <w:r>
        <w:rPr>
          <w:spacing w:val="-9"/>
          <w:sz w:val="21"/>
        </w:rPr>
        <w:t>于修改我省公路工程施工招标评标内容等有关问题的通知》豫交建管【</w:t>
      </w:r>
      <w:r>
        <w:rPr>
          <w:sz w:val="21"/>
        </w:rPr>
        <w:t>2010</w:t>
      </w:r>
      <w:r>
        <w:rPr>
          <w:spacing w:val="-10"/>
          <w:sz w:val="21"/>
        </w:rPr>
        <w:t>】</w:t>
      </w:r>
      <w:r>
        <w:rPr>
          <w:sz w:val="21"/>
        </w:rPr>
        <w:t>47</w:t>
      </w:r>
      <w:r>
        <w:rPr>
          <w:spacing w:val="-12"/>
          <w:sz w:val="21"/>
        </w:rPr>
        <w:t xml:space="preserve"> 号文件精神，凡</w:t>
      </w:r>
      <w:r>
        <w:rPr>
          <w:spacing w:val="-14"/>
          <w:sz w:val="21"/>
        </w:rPr>
        <w:t xml:space="preserve">出借资质围标串标的从业单位，一经查实，其信用评价等级将直接列为 </w:t>
      </w:r>
      <w:r>
        <w:rPr>
          <w:sz w:val="21"/>
        </w:rPr>
        <w:t>D</w:t>
      </w:r>
      <w:r>
        <w:rPr>
          <w:spacing w:val="-27"/>
          <w:sz w:val="21"/>
        </w:rPr>
        <w:t xml:space="preserve"> 级</w:t>
      </w:r>
      <w:r>
        <w:rPr>
          <w:sz w:val="21"/>
        </w:rPr>
        <w:t>（黑名单）。</w:t>
      </w:r>
    </w:p>
    <w:p>
      <w:pPr>
        <w:spacing w:after="0" w:line="364" w:lineRule="auto"/>
        <w:jc w:val="both"/>
        <w:rPr>
          <w:sz w:val="21"/>
        </w:rPr>
        <w:sectPr>
          <w:pgSz w:w="11910" w:h="16840"/>
          <w:pgMar w:top="1380" w:right="720" w:bottom="1080" w:left="820" w:header="746" w:footer="891" w:gutter="0"/>
          <w:cols w:space="720" w:num="1"/>
        </w:sectPr>
      </w:pPr>
    </w:p>
    <w:p>
      <w:pPr>
        <w:pStyle w:val="5"/>
        <w:spacing w:before="5"/>
        <w:ind w:left="0"/>
        <w:rPr>
          <w:sz w:val="13"/>
        </w:rPr>
      </w:pPr>
    </w:p>
    <w:p>
      <w:pPr>
        <w:pStyle w:val="4"/>
        <w:spacing w:before="67"/>
        <w:ind w:left="258" w:right="360"/>
        <w:jc w:val="center"/>
      </w:pPr>
      <w:r>
        <w:t>附录 5 资格审查条件(项目经理和项目总工最低要求)</w:t>
      </w:r>
    </w:p>
    <w:p>
      <w:pPr>
        <w:pStyle w:val="5"/>
        <w:spacing w:before="4"/>
        <w:ind w:left="0"/>
        <w:rPr>
          <w:b/>
          <w:sz w:val="26"/>
        </w:rPr>
      </w:pPr>
    </w:p>
    <w:tbl>
      <w:tblPr>
        <w:tblStyle w:val="7"/>
        <w:tblW w:w="0" w:type="auto"/>
        <w:tblInd w:w="67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670"/>
        <w:gridCol w:w="773"/>
        <w:gridCol w:w="4916"/>
        <w:gridCol w:w="164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21" w:hRule="atLeast"/>
        </w:trPr>
        <w:tc>
          <w:tcPr>
            <w:tcW w:w="1670" w:type="dxa"/>
            <w:tcBorders>
              <w:bottom w:val="single" w:color="000000" w:sz="2" w:space="0"/>
              <w:right w:val="single" w:color="000000" w:sz="4" w:space="0"/>
            </w:tcBorders>
          </w:tcPr>
          <w:p>
            <w:pPr>
              <w:pStyle w:val="11"/>
              <w:spacing w:before="137"/>
              <w:ind w:left="83" w:right="157"/>
              <w:jc w:val="center"/>
              <w:rPr>
                <w:sz w:val="21"/>
              </w:rPr>
            </w:pPr>
            <w:r>
              <w:rPr>
                <w:sz w:val="21"/>
              </w:rPr>
              <w:t>人 员</w:t>
            </w:r>
          </w:p>
        </w:tc>
        <w:tc>
          <w:tcPr>
            <w:tcW w:w="773" w:type="dxa"/>
            <w:tcBorders>
              <w:left w:val="single" w:color="000000" w:sz="4" w:space="0"/>
              <w:bottom w:val="single" w:color="000000" w:sz="2" w:space="0"/>
              <w:right w:val="single" w:color="000000" w:sz="4" w:space="0"/>
            </w:tcBorders>
          </w:tcPr>
          <w:p>
            <w:pPr>
              <w:pStyle w:val="11"/>
              <w:spacing w:before="137"/>
              <w:ind w:left="165" w:right="138"/>
              <w:jc w:val="center"/>
              <w:rPr>
                <w:sz w:val="21"/>
              </w:rPr>
            </w:pPr>
            <w:r>
              <w:rPr>
                <w:sz w:val="21"/>
              </w:rPr>
              <w:t>数量</w:t>
            </w:r>
          </w:p>
        </w:tc>
        <w:tc>
          <w:tcPr>
            <w:tcW w:w="4916" w:type="dxa"/>
            <w:tcBorders>
              <w:left w:val="single" w:color="000000" w:sz="4" w:space="0"/>
              <w:bottom w:val="single" w:color="000000" w:sz="2" w:space="0"/>
              <w:right w:val="single" w:color="000000" w:sz="4" w:space="0"/>
            </w:tcBorders>
          </w:tcPr>
          <w:p>
            <w:pPr>
              <w:pStyle w:val="11"/>
              <w:spacing w:before="137"/>
              <w:ind w:left="875"/>
              <w:rPr>
                <w:sz w:val="21"/>
              </w:rPr>
            </w:pPr>
            <w:r>
              <w:rPr>
                <w:sz w:val="21"/>
              </w:rPr>
              <w:t>资 格 要 求</w:t>
            </w:r>
          </w:p>
        </w:tc>
        <w:tc>
          <w:tcPr>
            <w:tcW w:w="1647" w:type="dxa"/>
            <w:tcBorders>
              <w:left w:val="single" w:color="000000" w:sz="4" w:space="0"/>
              <w:bottom w:val="single" w:color="000000" w:sz="2" w:space="0"/>
            </w:tcBorders>
          </w:tcPr>
          <w:p>
            <w:pPr>
              <w:pStyle w:val="11"/>
              <w:spacing w:before="137"/>
              <w:ind w:left="406"/>
              <w:rPr>
                <w:sz w:val="21"/>
              </w:rPr>
            </w:pPr>
            <w:r>
              <w:rPr>
                <w:sz w:val="21"/>
              </w:rPr>
              <w:t>在岗要求</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3"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0"/>
              <w:ind w:left="83" w:right="59"/>
              <w:jc w:val="center"/>
              <w:rPr>
                <w:sz w:val="21"/>
              </w:rPr>
            </w:pPr>
            <w:r>
              <w:rPr>
                <w:sz w:val="21"/>
              </w:rPr>
              <w:t>项目经理</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0"/>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spacing w:before="10"/>
              <w:rPr>
                <w:b/>
                <w:sz w:val="16"/>
              </w:rPr>
            </w:pPr>
          </w:p>
          <w:p>
            <w:pPr>
              <w:pStyle w:val="11"/>
              <w:spacing w:before="1" w:line="278" w:lineRule="auto"/>
              <w:ind w:left="114" w:right="73"/>
              <w:jc w:val="both"/>
              <w:rPr>
                <w:sz w:val="21"/>
              </w:rPr>
            </w:pPr>
            <w:r>
              <w:rPr>
                <w:spacing w:val="-15"/>
                <w:w w:val="95"/>
                <w:sz w:val="21"/>
              </w:rPr>
              <w:t xml:space="preserve">具有公路工程专业贰级及以上注册建造师资格证书，具 </w:t>
            </w:r>
            <w:r>
              <w:rPr>
                <w:spacing w:val="-16"/>
                <w:w w:val="95"/>
                <w:sz w:val="21"/>
              </w:rPr>
              <w:t xml:space="preserve">备公路相关专业中级及以上职称证书，具有建设行政主 </w:t>
            </w:r>
            <w:r>
              <w:rPr>
                <w:spacing w:val="-5"/>
                <w:sz w:val="21"/>
              </w:rPr>
              <w:t>管部门颁发的</w:t>
            </w:r>
            <w:r>
              <w:rPr>
                <w:sz w:val="21"/>
              </w:rPr>
              <w:t>B</w:t>
            </w:r>
            <w:r>
              <w:rPr>
                <w:spacing w:val="-22"/>
                <w:sz w:val="21"/>
              </w:rPr>
              <w:t xml:space="preserve"> 类安全生产考核合格证，且未担任其它</w:t>
            </w:r>
            <w:r>
              <w:rPr>
                <w:spacing w:val="-15"/>
                <w:w w:val="95"/>
                <w:sz w:val="21"/>
              </w:rPr>
              <w:t>在建建设工程项目</w:t>
            </w:r>
            <w:r>
              <w:rPr>
                <w:spacing w:val="-13"/>
                <w:w w:val="95"/>
                <w:sz w:val="21"/>
              </w:rPr>
              <w:t>（出具承诺书</w:t>
            </w:r>
            <w:r>
              <w:rPr>
                <w:spacing w:val="-27"/>
                <w:w w:val="95"/>
                <w:sz w:val="21"/>
              </w:rPr>
              <w:t>）；</w:t>
            </w:r>
            <w:r>
              <w:rPr>
                <w:spacing w:val="-12"/>
                <w:w w:val="95"/>
                <w:sz w:val="21"/>
              </w:rPr>
              <w:t xml:space="preserve">项目经理须为本单 </w:t>
            </w:r>
            <w:r>
              <w:rPr>
                <w:spacing w:val="-9"/>
                <w:sz w:val="21"/>
              </w:rPr>
              <w:t>位职工</w:t>
            </w:r>
            <w:r>
              <w:rPr>
                <w:spacing w:val="-10"/>
                <w:sz w:val="21"/>
              </w:rPr>
              <w:t>（</w:t>
            </w:r>
            <w:r>
              <w:rPr>
                <w:spacing w:val="-16"/>
                <w:sz w:val="21"/>
              </w:rPr>
              <w:t xml:space="preserve">提供劳动合同及自 </w:t>
            </w:r>
            <w:r>
              <w:rPr>
                <w:spacing w:val="-4"/>
                <w:sz w:val="21"/>
              </w:rPr>
              <w:t>2021</w:t>
            </w:r>
            <w:r>
              <w:rPr>
                <w:spacing w:val="-45"/>
                <w:sz w:val="21"/>
              </w:rPr>
              <w:t xml:space="preserve"> 年 </w:t>
            </w:r>
            <w:r>
              <w:rPr>
                <w:sz w:val="21"/>
              </w:rPr>
              <w:t>7</w:t>
            </w:r>
            <w:r>
              <w:rPr>
                <w:spacing w:val="-44"/>
                <w:sz w:val="21"/>
              </w:rPr>
              <w:t xml:space="preserve"> 月 </w:t>
            </w:r>
            <w:r>
              <w:rPr>
                <w:sz w:val="21"/>
              </w:rPr>
              <w:t>1</w:t>
            </w:r>
            <w:r>
              <w:rPr>
                <w:spacing w:val="-18"/>
                <w:sz w:val="21"/>
              </w:rPr>
              <w:t xml:space="preserve"> 日以来连续</w:t>
            </w:r>
            <w:r>
              <w:rPr>
                <w:spacing w:val="-13"/>
                <w:sz w:val="21"/>
              </w:rPr>
              <w:t>六个月本单位缴纳的社保证明材料</w:t>
            </w:r>
            <w:r>
              <w:rPr>
                <w:spacing w:val="-10"/>
                <w:sz w:val="21"/>
              </w:rPr>
              <w:t>）</w:t>
            </w:r>
            <w:r>
              <w:rPr>
                <w:sz w:val="21"/>
              </w:rPr>
              <w:t>。</w:t>
            </w:r>
          </w:p>
        </w:tc>
        <w:tc>
          <w:tcPr>
            <w:tcW w:w="1647" w:type="dxa"/>
            <w:vMerge w:val="restart"/>
            <w:tcBorders>
              <w:top w:val="single" w:color="000000" w:sz="2" w:space="0"/>
              <w:left w:val="single" w:color="000000" w:sz="4" w:space="0"/>
              <w:bottom w:val="single" w:color="000000" w:sz="2" w:space="0"/>
            </w:tcBorders>
          </w:tcPr>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spacing w:before="7"/>
              <w:rPr>
                <w:b/>
                <w:sz w:val="23"/>
              </w:rPr>
            </w:pPr>
          </w:p>
          <w:p>
            <w:pPr>
              <w:pStyle w:val="11"/>
              <w:spacing w:line="278" w:lineRule="auto"/>
              <w:ind w:left="113" w:right="73"/>
              <w:jc w:val="both"/>
              <w:rPr>
                <w:sz w:val="21"/>
              </w:rPr>
            </w:pPr>
            <w:r>
              <w:rPr>
                <w:spacing w:val="-5"/>
                <w:sz w:val="21"/>
              </w:rPr>
              <w:t>无在岗项目</w:t>
            </w:r>
            <w:r>
              <w:rPr>
                <w:spacing w:val="-3"/>
                <w:sz w:val="21"/>
              </w:rPr>
              <w:t>（</w:t>
            </w:r>
            <w:r>
              <w:rPr>
                <w:spacing w:val="-16"/>
                <w:sz w:val="21"/>
              </w:rPr>
              <w:t>指</w:t>
            </w:r>
            <w:r>
              <w:rPr>
                <w:spacing w:val="-7"/>
                <w:sz w:val="21"/>
              </w:rPr>
              <w:t>目前未在其他项目上任职，或虽</w:t>
            </w:r>
            <w:r>
              <w:rPr>
                <w:spacing w:val="24"/>
                <w:sz w:val="21"/>
              </w:rPr>
              <w:t>在其他项目上</w:t>
            </w:r>
            <w:r>
              <w:rPr>
                <w:spacing w:val="23"/>
                <w:sz w:val="21"/>
              </w:rPr>
              <w:t>任职但本项目</w:t>
            </w:r>
            <w:r>
              <w:rPr>
                <w:spacing w:val="27"/>
                <w:sz w:val="21"/>
              </w:rPr>
              <w:t>中标后能够从该项目撤离）</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4"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83" w:right="57"/>
              <w:jc w:val="center"/>
              <w:rPr>
                <w:sz w:val="21"/>
              </w:rPr>
            </w:pPr>
            <w:r>
              <w:rPr>
                <w:sz w:val="21"/>
              </w:rPr>
              <w:t>项目经理备选人</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spacing w:before="11"/>
              <w:rPr>
                <w:b/>
                <w:sz w:val="16"/>
              </w:rPr>
            </w:pPr>
          </w:p>
          <w:p>
            <w:pPr>
              <w:pStyle w:val="11"/>
              <w:spacing w:before="1" w:line="278" w:lineRule="auto"/>
              <w:ind w:left="114" w:right="73"/>
              <w:jc w:val="both"/>
              <w:rPr>
                <w:sz w:val="21"/>
              </w:rPr>
            </w:pPr>
            <w:r>
              <w:rPr>
                <w:spacing w:val="-15"/>
                <w:w w:val="95"/>
                <w:sz w:val="21"/>
              </w:rPr>
              <w:t xml:space="preserve">具有公路工程专业贰级及以上注册建造师资格证书，具 </w:t>
            </w:r>
            <w:r>
              <w:rPr>
                <w:spacing w:val="-16"/>
                <w:w w:val="95"/>
                <w:sz w:val="21"/>
              </w:rPr>
              <w:t xml:space="preserve">备公路相关专业中级及以上职称证书，具有建设行政主 </w:t>
            </w:r>
            <w:r>
              <w:rPr>
                <w:spacing w:val="-5"/>
                <w:sz w:val="21"/>
              </w:rPr>
              <w:t>管部门颁发的</w:t>
            </w:r>
            <w:r>
              <w:rPr>
                <w:sz w:val="21"/>
              </w:rPr>
              <w:t>B</w:t>
            </w:r>
            <w:r>
              <w:rPr>
                <w:spacing w:val="-22"/>
                <w:sz w:val="21"/>
              </w:rPr>
              <w:t xml:space="preserve"> 类安全生产考核合格证，且未担任其它</w:t>
            </w:r>
            <w:r>
              <w:rPr>
                <w:spacing w:val="-15"/>
                <w:w w:val="95"/>
                <w:sz w:val="21"/>
              </w:rPr>
              <w:t>在建建设工程项目</w:t>
            </w:r>
            <w:r>
              <w:rPr>
                <w:spacing w:val="-13"/>
                <w:w w:val="95"/>
                <w:sz w:val="21"/>
              </w:rPr>
              <w:t>（出具承诺书</w:t>
            </w:r>
            <w:r>
              <w:rPr>
                <w:spacing w:val="-27"/>
                <w:w w:val="95"/>
                <w:sz w:val="21"/>
              </w:rPr>
              <w:t>）；</w:t>
            </w:r>
            <w:r>
              <w:rPr>
                <w:spacing w:val="-12"/>
                <w:w w:val="95"/>
                <w:sz w:val="21"/>
              </w:rPr>
              <w:t xml:space="preserve">项目经理须为本单 </w:t>
            </w:r>
            <w:r>
              <w:rPr>
                <w:spacing w:val="-9"/>
                <w:sz w:val="21"/>
              </w:rPr>
              <w:t>位职工</w:t>
            </w:r>
            <w:r>
              <w:rPr>
                <w:spacing w:val="-10"/>
                <w:sz w:val="21"/>
              </w:rPr>
              <w:t>（</w:t>
            </w:r>
            <w:r>
              <w:rPr>
                <w:spacing w:val="-16"/>
                <w:sz w:val="21"/>
              </w:rPr>
              <w:t xml:space="preserve">提供劳动合同及自 </w:t>
            </w:r>
            <w:r>
              <w:rPr>
                <w:spacing w:val="-4"/>
                <w:sz w:val="21"/>
              </w:rPr>
              <w:t>2021</w:t>
            </w:r>
            <w:r>
              <w:rPr>
                <w:spacing w:val="-45"/>
                <w:sz w:val="21"/>
              </w:rPr>
              <w:t xml:space="preserve"> 年 </w:t>
            </w:r>
            <w:r>
              <w:rPr>
                <w:sz w:val="21"/>
              </w:rPr>
              <w:t>7</w:t>
            </w:r>
            <w:r>
              <w:rPr>
                <w:spacing w:val="-44"/>
                <w:sz w:val="21"/>
              </w:rPr>
              <w:t xml:space="preserve"> 月 </w:t>
            </w:r>
            <w:r>
              <w:rPr>
                <w:sz w:val="21"/>
              </w:rPr>
              <w:t>1</w:t>
            </w:r>
            <w:r>
              <w:rPr>
                <w:spacing w:val="-18"/>
                <w:sz w:val="21"/>
              </w:rPr>
              <w:t xml:space="preserve"> 日以来连续</w:t>
            </w:r>
            <w:r>
              <w:rPr>
                <w:spacing w:val="-13"/>
                <w:sz w:val="21"/>
              </w:rPr>
              <w:t>六个月本单位缴纳的社保证明材料</w:t>
            </w:r>
            <w:r>
              <w:rPr>
                <w:spacing w:val="-10"/>
                <w:sz w:val="21"/>
              </w:rPr>
              <w:t>）</w:t>
            </w:r>
            <w:r>
              <w:rPr>
                <w:sz w:val="21"/>
              </w:rPr>
              <w:t>。</w:t>
            </w:r>
          </w:p>
        </w:tc>
        <w:tc>
          <w:tcPr>
            <w:tcW w:w="1647" w:type="dxa"/>
            <w:vMerge w:val="continue"/>
            <w:tcBorders>
              <w:top w:val="nil"/>
              <w:left w:val="single" w:color="000000" w:sz="4" w:space="0"/>
              <w:bottom w:val="single" w:color="000000" w:sz="2"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4" w:hRule="atLeast"/>
        </w:trPr>
        <w:tc>
          <w:tcPr>
            <w:tcW w:w="1670" w:type="dxa"/>
            <w:tcBorders>
              <w:top w:val="single" w:color="000000" w:sz="2"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2"/>
              <w:ind w:left="83" w:right="57"/>
              <w:jc w:val="center"/>
              <w:rPr>
                <w:sz w:val="21"/>
              </w:rPr>
            </w:pPr>
            <w:r>
              <w:rPr>
                <w:sz w:val="21"/>
              </w:rPr>
              <w:t>项目总工程师</w:t>
            </w:r>
          </w:p>
        </w:tc>
        <w:tc>
          <w:tcPr>
            <w:tcW w:w="773"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rPr>
                <w:b/>
                <w:sz w:val="20"/>
              </w:rPr>
            </w:pPr>
          </w:p>
          <w:p>
            <w:pPr>
              <w:pStyle w:val="11"/>
              <w:rPr>
                <w:b/>
                <w:sz w:val="20"/>
              </w:rPr>
            </w:pPr>
          </w:p>
          <w:p>
            <w:pPr>
              <w:pStyle w:val="11"/>
              <w:spacing w:before="152"/>
              <w:ind w:left="26"/>
              <w:jc w:val="center"/>
              <w:rPr>
                <w:sz w:val="21"/>
              </w:rPr>
            </w:pPr>
            <w:r>
              <w:rPr>
                <w:w w:val="99"/>
                <w:sz w:val="21"/>
              </w:rPr>
              <w:t>1</w:t>
            </w:r>
          </w:p>
        </w:tc>
        <w:tc>
          <w:tcPr>
            <w:tcW w:w="4916" w:type="dxa"/>
            <w:tcBorders>
              <w:top w:val="single" w:color="000000" w:sz="2" w:space="0"/>
              <w:left w:val="single" w:color="000000" w:sz="4" w:space="0"/>
              <w:bottom w:val="single" w:color="000000" w:sz="2" w:space="0"/>
              <w:right w:val="single" w:color="000000" w:sz="4" w:space="0"/>
            </w:tcBorders>
          </w:tcPr>
          <w:p>
            <w:pPr>
              <w:pStyle w:val="11"/>
              <w:rPr>
                <w:b/>
                <w:sz w:val="20"/>
              </w:rPr>
            </w:pPr>
          </w:p>
          <w:p>
            <w:pPr>
              <w:pStyle w:val="11"/>
              <w:spacing w:before="4"/>
              <w:rPr>
                <w:b/>
                <w:sz w:val="27"/>
              </w:rPr>
            </w:pPr>
          </w:p>
          <w:p>
            <w:pPr>
              <w:pStyle w:val="11"/>
              <w:spacing w:line="278" w:lineRule="auto"/>
              <w:ind w:left="13" w:right="-15"/>
              <w:rPr>
                <w:sz w:val="21"/>
              </w:rPr>
            </w:pPr>
            <w:r>
              <w:rPr>
                <w:sz w:val="21"/>
              </w:rPr>
              <w:t>须具有有效的职称证书。项目总工程师须为本单位职</w:t>
            </w:r>
            <w:r>
              <w:rPr>
                <w:spacing w:val="-27"/>
                <w:sz w:val="21"/>
              </w:rPr>
              <w:t>工</w:t>
            </w:r>
            <w:r>
              <w:rPr>
                <w:sz w:val="21"/>
              </w:rPr>
              <w:t>（</w:t>
            </w:r>
            <w:r>
              <w:rPr>
                <w:spacing w:val="-6"/>
                <w:sz w:val="21"/>
              </w:rPr>
              <w:t xml:space="preserve">提供劳动合同及自 </w:t>
            </w:r>
            <w:r>
              <w:rPr>
                <w:sz w:val="21"/>
              </w:rPr>
              <w:t>2021</w:t>
            </w:r>
            <w:r>
              <w:rPr>
                <w:spacing w:val="-38"/>
                <w:sz w:val="21"/>
              </w:rPr>
              <w:t xml:space="preserve"> 年 </w:t>
            </w:r>
            <w:r>
              <w:rPr>
                <w:sz w:val="21"/>
              </w:rPr>
              <w:t>7</w:t>
            </w:r>
            <w:r>
              <w:rPr>
                <w:spacing w:val="-37"/>
                <w:sz w:val="21"/>
              </w:rPr>
              <w:t xml:space="preserve"> 月 </w:t>
            </w:r>
            <w:r>
              <w:rPr>
                <w:sz w:val="21"/>
              </w:rPr>
              <w:t>1</w:t>
            </w:r>
            <w:r>
              <w:rPr>
                <w:spacing w:val="-8"/>
                <w:sz w:val="21"/>
              </w:rPr>
              <w:t xml:space="preserve"> 日以来连续六个月本单位缴纳的社保证明材料）。</w:t>
            </w:r>
          </w:p>
        </w:tc>
        <w:tc>
          <w:tcPr>
            <w:tcW w:w="1647" w:type="dxa"/>
            <w:vMerge w:val="continue"/>
            <w:tcBorders>
              <w:top w:val="nil"/>
              <w:left w:val="single" w:color="000000" w:sz="4" w:space="0"/>
              <w:bottom w:val="single" w:color="000000" w:sz="2"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53" w:hRule="atLeast"/>
        </w:trPr>
        <w:tc>
          <w:tcPr>
            <w:tcW w:w="1670" w:type="dxa"/>
            <w:tcBorders>
              <w:top w:val="single" w:color="000000" w:sz="2" w:space="0"/>
              <w:right w:val="single" w:color="000000" w:sz="4" w:space="0"/>
            </w:tcBorders>
          </w:tcPr>
          <w:p>
            <w:pPr>
              <w:pStyle w:val="11"/>
              <w:rPr>
                <w:b/>
                <w:sz w:val="20"/>
              </w:rPr>
            </w:pPr>
          </w:p>
          <w:p>
            <w:pPr>
              <w:pStyle w:val="11"/>
              <w:rPr>
                <w:b/>
                <w:sz w:val="20"/>
              </w:rPr>
            </w:pPr>
          </w:p>
          <w:p>
            <w:pPr>
              <w:pStyle w:val="11"/>
              <w:spacing w:before="7"/>
              <w:rPr>
                <w:b/>
                <w:sz w:val="19"/>
              </w:rPr>
            </w:pPr>
          </w:p>
          <w:p>
            <w:pPr>
              <w:pStyle w:val="11"/>
              <w:spacing w:line="278" w:lineRule="auto"/>
              <w:ind w:left="629" w:right="75" w:hanging="526"/>
              <w:rPr>
                <w:sz w:val="21"/>
              </w:rPr>
            </w:pPr>
            <w:r>
              <w:rPr>
                <w:sz w:val="21"/>
              </w:rPr>
              <w:t>项目总工程师备选人</w:t>
            </w:r>
          </w:p>
        </w:tc>
        <w:tc>
          <w:tcPr>
            <w:tcW w:w="773" w:type="dxa"/>
            <w:tcBorders>
              <w:top w:val="single" w:color="000000" w:sz="2" w:space="0"/>
              <w:left w:val="single" w:color="000000" w:sz="4" w:space="0"/>
              <w:right w:val="single" w:color="000000" w:sz="4" w:space="0"/>
            </w:tcBorders>
          </w:tcPr>
          <w:p>
            <w:pPr>
              <w:pStyle w:val="11"/>
              <w:rPr>
                <w:b/>
                <w:sz w:val="20"/>
              </w:rPr>
            </w:pPr>
          </w:p>
          <w:p>
            <w:pPr>
              <w:pStyle w:val="11"/>
              <w:rPr>
                <w:b/>
                <w:sz w:val="20"/>
              </w:rPr>
            </w:pPr>
          </w:p>
          <w:p>
            <w:pPr>
              <w:pStyle w:val="11"/>
              <w:rPr>
                <w:b/>
                <w:sz w:val="20"/>
              </w:rPr>
            </w:pPr>
          </w:p>
          <w:p>
            <w:pPr>
              <w:pStyle w:val="11"/>
              <w:spacing w:before="151"/>
              <w:ind w:left="26"/>
              <w:jc w:val="center"/>
              <w:rPr>
                <w:sz w:val="21"/>
              </w:rPr>
            </w:pPr>
            <w:r>
              <w:rPr>
                <w:w w:val="99"/>
                <w:sz w:val="21"/>
              </w:rPr>
              <w:t>1</w:t>
            </w:r>
          </w:p>
        </w:tc>
        <w:tc>
          <w:tcPr>
            <w:tcW w:w="4916" w:type="dxa"/>
            <w:tcBorders>
              <w:top w:val="single" w:color="000000" w:sz="2" w:space="0"/>
              <w:left w:val="single" w:color="000000" w:sz="4" w:space="0"/>
              <w:right w:val="single" w:color="000000" w:sz="4" w:space="0"/>
            </w:tcBorders>
          </w:tcPr>
          <w:p>
            <w:pPr>
              <w:pStyle w:val="11"/>
              <w:rPr>
                <w:b/>
                <w:sz w:val="20"/>
              </w:rPr>
            </w:pPr>
          </w:p>
          <w:p>
            <w:pPr>
              <w:pStyle w:val="11"/>
              <w:spacing w:before="5"/>
              <w:rPr>
                <w:b/>
                <w:sz w:val="27"/>
              </w:rPr>
            </w:pPr>
          </w:p>
          <w:p>
            <w:pPr>
              <w:pStyle w:val="11"/>
              <w:spacing w:line="278" w:lineRule="auto"/>
              <w:ind w:left="13" w:right="-15"/>
              <w:rPr>
                <w:sz w:val="21"/>
              </w:rPr>
            </w:pPr>
            <w:r>
              <w:rPr>
                <w:sz w:val="21"/>
              </w:rPr>
              <w:t>须具有有效的职称证书。项目总工程师备选人须为本</w:t>
            </w:r>
            <w:r>
              <w:rPr>
                <w:spacing w:val="-7"/>
                <w:sz w:val="21"/>
              </w:rPr>
              <w:t>单位职工</w:t>
            </w:r>
            <w:r>
              <w:rPr>
                <w:sz w:val="21"/>
              </w:rPr>
              <w:t>（</w:t>
            </w:r>
            <w:r>
              <w:rPr>
                <w:spacing w:val="-7"/>
                <w:sz w:val="21"/>
              </w:rPr>
              <w:t xml:space="preserve">提供劳动合同及自 </w:t>
            </w:r>
            <w:r>
              <w:rPr>
                <w:sz w:val="21"/>
              </w:rPr>
              <w:t>2021</w:t>
            </w:r>
            <w:r>
              <w:rPr>
                <w:spacing w:val="-37"/>
                <w:sz w:val="21"/>
              </w:rPr>
              <w:t xml:space="preserve"> 年 </w:t>
            </w:r>
            <w:r>
              <w:rPr>
                <w:sz w:val="21"/>
              </w:rPr>
              <w:t>7</w:t>
            </w:r>
            <w:r>
              <w:rPr>
                <w:spacing w:val="-37"/>
                <w:sz w:val="21"/>
              </w:rPr>
              <w:t xml:space="preserve"> 月 </w:t>
            </w:r>
            <w:r>
              <w:rPr>
                <w:sz w:val="21"/>
              </w:rPr>
              <w:t>1</w:t>
            </w:r>
            <w:r>
              <w:rPr>
                <w:spacing w:val="-12"/>
                <w:sz w:val="21"/>
              </w:rPr>
              <w:t xml:space="preserve"> 日以来连续六个月本单位缴纳的社保证明材料）。</w:t>
            </w:r>
          </w:p>
        </w:tc>
        <w:tc>
          <w:tcPr>
            <w:tcW w:w="1647" w:type="dxa"/>
            <w:tcBorders>
              <w:top w:val="single" w:color="000000" w:sz="2" w:space="0"/>
              <w:left w:val="single" w:color="000000" w:sz="4" w:space="0"/>
            </w:tcBorders>
          </w:tcPr>
          <w:p>
            <w:pPr>
              <w:pStyle w:val="11"/>
              <w:rPr>
                <w:rFonts w:ascii="Times New Roman"/>
                <w:sz w:val="20"/>
              </w:rPr>
            </w:pPr>
          </w:p>
        </w:tc>
      </w:tr>
    </w:tbl>
    <w:p>
      <w:pPr>
        <w:spacing w:after="0"/>
        <w:rPr>
          <w:rFonts w:ascii="Times New Roman"/>
          <w:sz w:val="20"/>
        </w:rPr>
        <w:sectPr>
          <w:pgSz w:w="11910" w:h="16840"/>
          <w:pgMar w:top="1380" w:right="720" w:bottom="1080" w:left="820" w:header="746" w:footer="891" w:gutter="0"/>
          <w:cols w:space="720" w:num="1"/>
        </w:sectPr>
      </w:pPr>
    </w:p>
    <w:p>
      <w:pPr>
        <w:pStyle w:val="5"/>
        <w:spacing w:before="10"/>
        <w:ind w:left="0"/>
        <w:rPr>
          <w:b/>
          <w:sz w:val="8"/>
        </w:rPr>
      </w:pPr>
    </w:p>
    <w:p>
      <w:pPr>
        <w:spacing w:before="62"/>
        <w:ind w:left="300" w:right="360" w:firstLine="0"/>
        <w:jc w:val="center"/>
        <w:rPr>
          <w:b/>
          <w:sz w:val="28"/>
        </w:rPr>
      </w:pPr>
      <w:r>
        <w:rPr>
          <w:b/>
          <w:sz w:val="28"/>
        </w:rPr>
        <w:t>附录 6 资格审查条件（其他管理和技术人员最低要求）</w:t>
      </w:r>
    </w:p>
    <w:p>
      <w:pPr>
        <w:pStyle w:val="5"/>
        <w:spacing w:before="10"/>
        <w:ind w:left="0"/>
        <w:rPr>
          <w:b/>
          <w:sz w:val="19"/>
        </w:rPr>
      </w:pPr>
    </w:p>
    <w:p>
      <w:pPr>
        <w:spacing w:before="0" w:line="242" w:lineRule="auto"/>
        <w:ind w:left="540" w:right="641" w:firstLine="0"/>
        <w:jc w:val="both"/>
        <w:rPr>
          <w:sz w:val="21"/>
        </w:rPr>
      </w:pPr>
      <w:r>
        <w:rPr>
          <w:spacing w:val="-7"/>
          <w:w w:val="95"/>
          <w:sz w:val="21"/>
        </w:rPr>
        <w:t xml:space="preserve">注：其他管理和技术人员不作为本次招标的审查项，不做强制性要求，但投标人中标后应根据项目情   </w:t>
      </w:r>
      <w:r>
        <w:rPr>
          <w:spacing w:val="-11"/>
          <w:w w:val="95"/>
          <w:sz w:val="21"/>
        </w:rPr>
        <w:t xml:space="preserve">况派驻满足项目管理和技术要求的相应人员，并保证派驻人员数量、资格、能力符合国家、地方规范   </w:t>
      </w:r>
      <w:r>
        <w:rPr>
          <w:spacing w:val="-11"/>
          <w:sz w:val="21"/>
        </w:rPr>
        <w:t>及招标人要求。</w:t>
      </w:r>
    </w:p>
    <w:p>
      <w:pPr>
        <w:spacing w:after="0" w:line="242" w:lineRule="auto"/>
        <w:jc w:val="both"/>
        <w:rPr>
          <w:sz w:val="21"/>
        </w:rPr>
        <w:sectPr>
          <w:pgSz w:w="11910" w:h="16840"/>
          <w:pgMar w:top="1380" w:right="720" w:bottom="1080" w:left="820" w:header="746" w:footer="891" w:gutter="0"/>
          <w:cols w:space="720" w:num="1"/>
        </w:sectPr>
      </w:pPr>
    </w:p>
    <w:p>
      <w:pPr>
        <w:pStyle w:val="5"/>
        <w:spacing w:before="11"/>
        <w:ind w:left="0"/>
        <w:rPr>
          <w:sz w:val="20"/>
        </w:rPr>
      </w:pPr>
    </w:p>
    <w:p>
      <w:pPr>
        <w:pStyle w:val="4"/>
        <w:numPr>
          <w:ilvl w:val="0"/>
          <w:numId w:val="6"/>
        </w:numPr>
        <w:tabs>
          <w:tab w:val="left" w:pos="904"/>
        </w:tabs>
        <w:spacing w:before="67" w:after="0" w:line="240" w:lineRule="auto"/>
        <w:ind w:left="903" w:right="0" w:hanging="364"/>
        <w:jc w:val="both"/>
      </w:pPr>
      <w:r>
        <w:t>总则</w:t>
      </w:r>
    </w:p>
    <w:p>
      <w:pPr>
        <w:pStyle w:val="4"/>
        <w:numPr>
          <w:ilvl w:val="1"/>
          <w:numId w:val="6"/>
        </w:numPr>
        <w:tabs>
          <w:tab w:val="left" w:pos="1024"/>
        </w:tabs>
        <w:spacing w:before="158" w:after="0" w:line="240" w:lineRule="auto"/>
        <w:ind w:left="1023" w:right="0" w:hanging="484"/>
        <w:jc w:val="both"/>
      </w:pPr>
      <w:bookmarkStart w:id="9" w:name="1.1 项目概况"/>
      <w:bookmarkEnd w:id="9"/>
      <w:bookmarkStart w:id="10" w:name="1.1 项目概况"/>
      <w:bookmarkEnd w:id="10"/>
      <w:r>
        <w:t>项目概况</w:t>
      </w:r>
    </w:p>
    <w:p>
      <w:pPr>
        <w:pStyle w:val="10"/>
        <w:numPr>
          <w:ilvl w:val="2"/>
          <w:numId w:val="6"/>
        </w:numPr>
        <w:tabs>
          <w:tab w:val="left" w:pos="1681"/>
        </w:tabs>
        <w:spacing w:before="160" w:after="0" w:line="364" w:lineRule="auto"/>
        <w:ind w:left="540" w:right="639" w:firstLine="480"/>
        <w:jc w:val="both"/>
        <w:rPr>
          <w:sz w:val="24"/>
        </w:rPr>
      </w:pPr>
      <w:r>
        <w:rPr>
          <w:spacing w:val="-12"/>
          <w:sz w:val="24"/>
        </w:rPr>
        <w:t>根据《中华人民共和国招标投标法实施条例》、《公路工程建设项目招标投标</w:t>
      </w:r>
      <w:r>
        <w:rPr>
          <w:sz w:val="24"/>
        </w:rPr>
        <w:t>管理办法》等有关法律、法规和规章的规定，本招标项目已具备招标条件，现对本标段施工进行招标。</w:t>
      </w:r>
    </w:p>
    <w:p>
      <w:pPr>
        <w:pStyle w:val="10"/>
        <w:numPr>
          <w:ilvl w:val="2"/>
          <w:numId w:val="6"/>
        </w:numPr>
        <w:tabs>
          <w:tab w:val="left" w:pos="1741"/>
        </w:tabs>
        <w:spacing w:before="0" w:after="0" w:line="305" w:lineRule="exact"/>
        <w:ind w:left="1740" w:right="0" w:hanging="721"/>
        <w:jc w:val="both"/>
        <w:rPr>
          <w:sz w:val="24"/>
        </w:rPr>
      </w:pPr>
      <w:r>
        <w:rPr>
          <w:sz w:val="24"/>
        </w:rPr>
        <w:t>本招标项目招标人：见投标人须知前附表。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本标段招标代理机构：见投标人须知前附表。</w:t>
      </w:r>
    </w:p>
    <w:p>
      <w:pPr>
        <w:pStyle w:val="10"/>
        <w:numPr>
          <w:ilvl w:val="2"/>
          <w:numId w:val="6"/>
        </w:numPr>
        <w:tabs>
          <w:tab w:val="left" w:pos="1741"/>
        </w:tabs>
        <w:spacing w:before="158" w:after="0" w:line="240" w:lineRule="auto"/>
        <w:ind w:left="1740" w:right="0" w:hanging="721"/>
        <w:jc w:val="left"/>
        <w:rPr>
          <w:sz w:val="24"/>
        </w:rPr>
      </w:pPr>
      <w:r>
        <w:rPr>
          <w:sz w:val="24"/>
        </w:rPr>
        <w:t>本招标项目名称：见投标人须知前附表。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本标段建设地点：见投标人须知前附表。</w:t>
      </w:r>
    </w:p>
    <w:p>
      <w:pPr>
        <w:pStyle w:val="4"/>
        <w:numPr>
          <w:ilvl w:val="1"/>
          <w:numId w:val="6"/>
        </w:numPr>
        <w:tabs>
          <w:tab w:val="left" w:pos="1024"/>
        </w:tabs>
        <w:spacing w:before="160" w:after="0" w:line="240" w:lineRule="auto"/>
        <w:ind w:left="1023" w:right="0" w:hanging="484"/>
        <w:jc w:val="left"/>
      </w:pPr>
      <w:bookmarkStart w:id="11" w:name="1.2 招标项目的资金来源和落实情况"/>
      <w:bookmarkEnd w:id="11"/>
      <w:bookmarkStart w:id="12" w:name="1.2 招标项目的资金来源和落实情况"/>
      <w:bookmarkEnd w:id="12"/>
      <w:r>
        <w:t>招标项目的资金来源和落实情况</w:t>
      </w:r>
    </w:p>
    <w:p>
      <w:pPr>
        <w:pStyle w:val="10"/>
        <w:numPr>
          <w:ilvl w:val="2"/>
          <w:numId w:val="6"/>
        </w:numPr>
        <w:tabs>
          <w:tab w:val="left" w:pos="1741"/>
        </w:tabs>
        <w:spacing w:before="158" w:after="0" w:line="240" w:lineRule="auto"/>
        <w:ind w:left="1740" w:right="0" w:hanging="721"/>
        <w:jc w:val="left"/>
        <w:rPr>
          <w:sz w:val="24"/>
        </w:rPr>
      </w:pPr>
      <w:r>
        <w:rPr>
          <w:sz w:val="24"/>
        </w:rPr>
        <w:t>资金来源及比例：见投标人须知前附表。</w:t>
      </w:r>
    </w:p>
    <w:p>
      <w:pPr>
        <w:pStyle w:val="10"/>
        <w:numPr>
          <w:ilvl w:val="2"/>
          <w:numId w:val="6"/>
        </w:numPr>
        <w:tabs>
          <w:tab w:val="left" w:pos="1741"/>
        </w:tabs>
        <w:spacing w:before="158" w:after="0" w:line="240" w:lineRule="auto"/>
        <w:ind w:left="1740" w:right="0" w:hanging="721"/>
        <w:jc w:val="left"/>
        <w:rPr>
          <w:sz w:val="24"/>
        </w:rPr>
      </w:pPr>
      <w:r>
        <w:rPr>
          <w:sz w:val="24"/>
        </w:rPr>
        <w:t>资金落实情况：见投标人须知前附表。</w:t>
      </w:r>
    </w:p>
    <w:p>
      <w:pPr>
        <w:pStyle w:val="4"/>
        <w:numPr>
          <w:ilvl w:val="1"/>
          <w:numId w:val="6"/>
        </w:numPr>
        <w:tabs>
          <w:tab w:val="left" w:pos="1024"/>
        </w:tabs>
        <w:spacing w:before="161" w:after="0" w:line="240" w:lineRule="auto"/>
        <w:ind w:left="1023" w:right="0" w:hanging="484"/>
        <w:jc w:val="left"/>
      </w:pPr>
      <w:bookmarkStart w:id="13" w:name="1.3 招标范围、计划工期、质量要求和安全目标"/>
      <w:bookmarkEnd w:id="13"/>
      <w:bookmarkStart w:id="14" w:name="1.3 招标范围、计划工期、质量要求和安全目标"/>
      <w:bookmarkEnd w:id="14"/>
      <w:r>
        <w:rPr>
          <w:w w:val="95"/>
        </w:rPr>
        <w:t>招标范围、计划工期、质量要求和安全目标</w:t>
      </w:r>
    </w:p>
    <w:p>
      <w:pPr>
        <w:pStyle w:val="10"/>
        <w:numPr>
          <w:ilvl w:val="2"/>
          <w:numId w:val="6"/>
        </w:numPr>
        <w:tabs>
          <w:tab w:val="left" w:pos="1741"/>
        </w:tabs>
        <w:spacing w:before="158" w:after="0" w:line="240" w:lineRule="auto"/>
        <w:ind w:left="1740" w:right="0" w:hanging="721"/>
        <w:jc w:val="left"/>
        <w:rPr>
          <w:sz w:val="24"/>
        </w:rPr>
      </w:pPr>
      <w:r>
        <w:rPr>
          <w:sz w:val="24"/>
        </w:rPr>
        <w:t>招标范围：见投标人须知前附表。</w:t>
      </w:r>
    </w:p>
    <w:p>
      <w:pPr>
        <w:pStyle w:val="10"/>
        <w:numPr>
          <w:ilvl w:val="2"/>
          <w:numId w:val="6"/>
        </w:numPr>
        <w:tabs>
          <w:tab w:val="left" w:pos="1741"/>
        </w:tabs>
        <w:spacing w:before="160" w:after="0" w:line="240" w:lineRule="auto"/>
        <w:ind w:left="1740" w:right="0" w:hanging="721"/>
        <w:jc w:val="left"/>
        <w:rPr>
          <w:sz w:val="24"/>
        </w:rPr>
      </w:pPr>
      <w:r>
        <w:rPr>
          <w:sz w:val="24"/>
        </w:rPr>
        <w:t>本标段的计划工期：见投标人须知前附表。</w:t>
      </w:r>
    </w:p>
    <w:p>
      <w:pPr>
        <w:pStyle w:val="10"/>
        <w:numPr>
          <w:ilvl w:val="2"/>
          <w:numId w:val="6"/>
        </w:numPr>
        <w:tabs>
          <w:tab w:val="left" w:pos="1741"/>
        </w:tabs>
        <w:spacing w:before="161" w:after="0" w:line="240" w:lineRule="auto"/>
        <w:ind w:left="1740" w:right="0" w:hanging="721"/>
        <w:jc w:val="left"/>
        <w:rPr>
          <w:sz w:val="24"/>
        </w:rPr>
      </w:pPr>
      <w:r>
        <w:rPr>
          <w:sz w:val="24"/>
        </w:rPr>
        <w:t>本标段的质量要求：见投标人须知前附表。</w:t>
      </w:r>
    </w:p>
    <w:p>
      <w:pPr>
        <w:pStyle w:val="10"/>
        <w:numPr>
          <w:ilvl w:val="2"/>
          <w:numId w:val="6"/>
        </w:numPr>
        <w:tabs>
          <w:tab w:val="left" w:pos="1681"/>
        </w:tabs>
        <w:spacing w:before="158" w:after="0" w:line="240" w:lineRule="auto"/>
        <w:ind w:left="1680" w:right="0" w:hanging="661"/>
        <w:jc w:val="left"/>
        <w:rPr>
          <w:sz w:val="24"/>
        </w:rPr>
      </w:pPr>
      <w:r>
        <w:rPr>
          <w:sz w:val="24"/>
        </w:rPr>
        <w:t>本标段的安全目标：见投标人须知前附表。</w:t>
      </w:r>
    </w:p>
    <w:p>
      <w:pPr>
        <w:pStyle w:val="4"/>
        <w:numPr>
          <w:ilvl w:val="1"/>
          <w:numId w:val="6"/>
        </w:numPr>
        <w:tabs>
          <w:tab w:val="left" w:pos="1024"/>
        </w:tabs>
        <w:spacing w:before="160" w:after="0" w:line="240" w:lineRule="auto"/>
        <w:ind w:left="1023" w:right="0" w:hanging="484"/>
        <w:jc w:val="left"/>
      </w:pPr>
      <w:bookmarkStart w:id="15" w:name="1.4 投标人资格要求"/>
      <w:bookmarkEnd w:id="15"/>
      <w:bookmarkStart w:id="16" w:name="1.4 投标人资格要求"/>
      <w:bookmarkEnd w:id="16"/>
      <w:r>
        <w:t>投标人资格要求</w:t>
      </w:r>
    </w:p>
    <w:p>
      <w:pPr>
        <w:pStyle w:val="10"/>
        <w:numPr>
          <w:ilvl w:val="2"/>
          <w:numId w:val="6"/>
        </w:numPr>
        <w:tabs>
          <w:tab w:val="left" w:pos="1741"/>
        </w:tabs>
        <w:spacing w:before="159" w:after="0" w:line="240" w:lineRule="auto"/>
        <w:ind w:left="1740" w:right="0" w:hanging="721"/>
        <w:jc w:val="left"/>
        <w:rPr>
          <w:sz w:val="24"/>
        </w:rPr>
      </w:pPr>
      <w:r>
        <w:rPr>
          <w:sz w:val="24"/>
        </w:rPr>
        <w:t>投标人应具备承担本标段施工的资质条件、能力和信誉。</w:t>
      </w:r>
    </w:p>
    <w:p>
      <w:pPr>
        <w:pStyle w:val="10"/>
        <w:numPr>
          <w:ilvl w:val="0"/>
          <w:numId w:val="7"/>
        </w:numPr>
        <w:tabs>
          <w:tab w:val="left" w:pos="1622"/>
        </w:tabs>
        <w:spacing w:before="160" w:after="0" w:line="240" w:lineRule="auto"/>
        <w:ind w:left="1621" w:right="0" w:hanging="602"/>
        <w:jc w:val="left"/>
        <w:rPr>
          <w:sz w:val="24"/>
        </w:rPr>
      </w:pPr>
      <w:r>
        <w:rPr>
          <w:sz w:val="24"/>
        </w:rPr>
        <w:t>资质要求：见投标人须知前附表；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财务要求：见投标人须知前附表；</w:t>
      </w:r>
    </w:p>
    <w:p>
      <w:pPr>
        <w:pStyle w:val="10"/>
        <w:numPr>
          <w:ilvl w:val="0"/>
          <w:numId w:val="7"/>
        </w:numPr>
        <w:tabs>
          <w:tab w:val="left" w:pos="1622"/>
        </w:tabs>
        <w:spacing w:before="161" w:after="0" w:line="240" w:lineRule="auto"/>
        <w:ind w:left="1621" w:right="0" w:hanging="602"/>
        <w:jc w:val="left"/>
        <w:rPr>
          <w:sz w:val="24"/>
        </w:rPr>
      </w:pPr>
      <w:r>
        <w:rPr>
          <w:sz w:val="24"/>
        </w:rPr>
        <w:t>业绩要求：见投标人须知前附表；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信誉要求：见投标人须知前附表;</w:t>
      </w:r>
    </w:p>
    <w:p>
      <w:pPr>
        <w:pStyle w:val="10"/>
        <w:numPr>
          <w:ilvl w:val="0"/>
          <w:numId w:val="7"/>
        </w:numPr>
        <w:tabs>
          <w:tab w:val="left" w:pos="1622"/>
        </w:tabs>
        <w:spacing w:before="160" w:after="0" w:line="240" w:lineRule="auto"/>
        <w:ind w:left="1621" w:right="0" w:hanging="602"/>
        <w:jc w:val="left"/>
        <w:rPr>
          <w:sz w:val="24"/>
        </w:rPr>
      </w:pPr>
      <w:r>
        <w:rPr>
          <w:sz w:val="24"/>
        </w:rPr>
        <w:t>项目经理及项目总工程师资格：见投标人须知前附表；</w:t>
      </w:r>
    </w:p>
    <w:p>
      <w:pPr>
        <w:pStyle w:val="10"/>
        <w:numPr>
          <w:ilvl w:val="0"/>
          <w:numId w:val="7"/>
        </w:numPr>
        <w:tabs>
          <w:tab w:val="left" w:pos="1622"/>
        </w:tabs>
        <w:spacing w:before="158" w:after="0" w:line="240" w:lineRule="auto"/>
        <w:ind w:left="1621" w:right="0" w:hanging="602"/>
        <w:jc w:val="left"/>
        <w:rPr>
          <w:sz w:val="24"/>
        </w:rPr>
      </w:pPr>
      <w:r>
        <w:rPr>
          <w:sz w:val="24"/>
        </w:rPr>
        <w:t>其他要求：见投标人须知前附表。</w:t>
      </w:r>
    </w:p>
    <w:p>
      <w:pPr>
        <w:pStyle w:val="5"/>
        <w:spacing w:before="161"/>
        <w:ind w:left="1020"/>
      </w:pPr>
      <w:r>
        <w:t>需要提交的相关证明材料见本章第 3.5 款的规定。</w:t>
      </w:r>
    </w:p>
    <w:p>
      <w:pPr>
        <w:pStyle w:val="10"/>
        <w:numPr>
          <w:ilvl w:val="2"/>
          <w:numId w:val="6"/>
        </w:numPr>
        <w:tabs>
          <w:tab w:val="left" w:pos="1744"/>
        </w:tabs>
        <w:spacing w:before="160" w:after="0" w:line="362" w:lineRule="auto"/>
        <w:ind w:left="540" w:right="639" w:firstLine="480"/>
        <w:jc w:val="left"/>
        <w:rPr>
          <w:b/>
          <w:sz w:val="24"/>
        </w:rPr>
      </w:pPr>
      <w:r>
        <w:rPr>
          <w:spacing w:val="-2"/>
          <w:sz w:val="24"/>
        </w:rPr>
        <w:t xml:space="preserve">投标人须知前附表规定接受联合体投标的，联合体除应符合本章第 </w:t>
      </w:r>
      <w:r>
        <w:rPr>
          <w:sz w:val="24"/>
        </w:rPr>
        <w:t>1.4.1</w:t>
      </w:r>
      <w:r>
        <w:rPr>
          <w:spacing w:val="-19"/>
          <w:sz w:val="24"/>
        </w:rPr>
        <w:t xml:space="preserve"> 项和投标人须知前附表的要求外，还应遵守以下规定：</w:t>
      </w:r>
      <w:r>
        <w:rPr>
          <w:b/>
          <w:spacing w:val="-19"/>
          <w:sz w:val="24"/>
        </w:rPr>
        <w:t>（本项目不适用）</w:t>
      </w:r>
    </w:p>
    <w:p>
      <w:pPr>
        <w:pStyle w:val="10"/>
        <w:numPr>
          <w:ilvl w:val="0"/>
          <w:numId w:val="8"/>
        </w:numPr>
        <w:tabs>
          <w:tab w:val="left" w:pos="1622"/>
        </w:tabs>
        <w:spacing w:before="3" w:after="0" w:line="240" w:lineRule="auto"/>
        <w:ind w:left="1621" w:right="0" w:hanging="602"/>
        <w:jc w:val="left"/>
        <w:rPr>
          <w:sz w:val="24"/>
        </w:rPr>
      </w:pPr>
      <w:r>
        <w:rPr>
          <w:spacing w:val="-2"/>
          <w:sz w:val="24"/>
        </w:rPr>
        <w:t>联合体各方应按招标文件提供的格式签订联合体协议书，明确联合体牵头人和</w:t>
      </w:r>
    </w:p>
    <w:p>
      <w:pPr>
        <w:spacing w:after="0" w:line="240" w:lineRule="auto"/>
        <w:jc w:val="left"/>
        <w:rPr>
          <w:sz w:val="24"/>
        </w:rPr>
        <w:sectPr>
          <w:pgSz w:w="11910" w:h="16840"/>
          <w:pgMar w:top="1380" w:right="720" w:bottom="1080" w:left="820" w:header="746" w:footer="891" w:gutter="0"/>
          <w:cols w:space="720" w:num="1"/>
        </w:sectPr>
      </w:pPr>
    </w:p>
    <w:p>
      <w:pPr>
        <w:pStyle w:val="5"/>
        <w:spacing w:before="61"/>
      </w:pPr>
      <w:r>
        <w:t>各方权利义务，并承诺就中标项目向招标人承担连带责任。</w:t>
      </w:r>
    </w:p>
    <w:p>
      <w:pPr>
        <w:pStyle w:val="10"/>
        <w:numPr>
          <w:ilvl w:val="0"/>
          <w:numId w:val="8"/>
        </w:numPr>
        <w:tabs>
          <w:tab w:val="left" w:pos="1622"/>
        </w:tabs>
        <w:spacing w:before="160" w:after="0" w:line="240" w:lineRule="auto"/>
        <w:ind w:left="1621" w:right="0" w:hanging="602"/>
        <w:jc w:val="left"/>
        <w:rPr>
          <w:sz w:val="24"/>
        </w:rPr>
      </w:pPr>
      <w:r>
        <w:rPr>
          <w:sz w:val="24"/>
        </w:rPr>
        <w:t>由同一专业的单位组成的联合体，按照资质等级较低的单位确定资质等级；</w:t>
      </w:r>
    </w:p>
    <w:p>
      <w:pPr>
        <w:pStyle w:val="10"/>
        <w:numPr>
          <w:ilvl w:val="0"/>
          <w:numId w:val="8"/>
        </w:numPr>
        <w:tabs>
          <w:tab w:val="left" w:pos="1622"/>
        </w:tabs>
        <w:spacing w:before="158" w:after="0" w:line="364" w:lineRule="auto"/>
        <w:ind w:left="1020" w:right="639" w:firstLine="0"/>
        <w:jc w:val="left"/>
        <w:rPr>
          <w:sz w:val="24"/>
        </w:rPr>
      </w:pPr>
      <w:r>
        <w:rPr>
          <w:sz w:val="24"/>
        </w:rPr>
        <w:t>联合体各方不得再以自己名义单独或参加其他联合体在同一标段中投标； (4）</w:t>
      </w:r>
      <w:r>
        <w:rPr>
          <w:spacing w:val="-8"/>
          <w:sz w:val="24"/>
        </w:rPr>
        <w:t xml:space="preserve"> 联合体各方应分别按照本招标文件的要求，填写技标文件中的相应表格，并由</w:t>
      </w:r>
    </w:p>
    <w:p>
      <w:pPr>
        <w:pStyle w:val="5"/>
        <w:spacing w:line="364" w:lineRule="auto"/>
        <w:ind w:right="574"/>
      </w:pPr>
      <w:r>
        <w:t>联合体牵头人负责对联合体各成员的资料进行统 一汇总后一并提交给招标人；联合体牵头人所提交的投标文件应认为己代表了联合体各成员的真实情况；</w:t>
      </w:r>
    </w:p>
    <w:p>
      <w:pPr>
        <w:pStyle w:val="5"/>
        <w:spacing w:line="364" w:lineRule="auto"/>
        <w:ind w:right="642" w:firstLine="480"/>
      </w:pPr>
      <w:r>
        <w:t>(5）尽管委任了联合体牵头人，但联合体各成员在投标、签订合同与履行合同过程中，仍负有连带的和各自的法律责任。</w:t>
      </w:r>
    </w:p>
    <w:p>
      <w:pPr>
        <w:pStyle w:val="10"/>
        <w:numPr>
          <w:ilvl w:val="2"/>
          <w:numId w:val="6"/>
        </w:numPr>
        <w:tabs>
          <w:tab w:val="left" w:pos="1860"/>
          <w:tab w:val="left" w:pos="1861"/>
        </w:tabs>
        <w:spacing w:before="0" w:after="0" w:line="362" w:lineRule="auto"/>
        <w:ind w:left="1020" w:right="704" w:firstLine="0"/>
        <w:jc w:val="left"/>
        <w:rPr>
          <w:sz w:val="24"/>
        </w:rPr>
      </w:pPr>
      <w:r>
        <w:rPr>
          <w:sz w:val="24"/>
        </w:rPr>
        <w:t>投标人（</w:t>
      </w:r>
      <w:r>
        <w:rPr>
          <w:spacing w:val="-1"/>
          <w:sz w:val="24"/>
        </w:rPr>
        <w:t xml:space="preserve">包括联合体各成员〉不得与本标段相关单位存在下列关联关系 ： </w:t>
      </w:r>
      <w:r>
        <w:rPr>
          <w:sz w:val="24"/>
        </w:rPr>
        <w:t>(1） 为招标人不具有独立法人资格的附属机构（单位）；</w:t>
      </w:r>
    </w:p>
    <w:p>
      <w:pPr>
        <w:pStyle w:val="5"/>
        <w:spacing w:before="1" w:line="364" w:lineRule="auto"/>
        <w:ind w:left="1020" w:right="3690"/>
      </w:pPr>
      <w:r>
        <w:t>(2） 与招标人存在利害关系且可能影响招标公正性： (3） 与本标段的其他投标人同为一个单位负责人 ； (4） 与本标段的其他投标人存在控股 、管理关系 ；</w:t>
      </w:r>
    </w:p>
    <w:p>
      <w:pPr>
        <w:pStyle w:val="5"/>
        <w:spacing w:line="364" w:lineRule="auto"/>
        <w:ind w:left="1020" w:right="519"/>
      </w:pPr>
      <w:r>
        <w:t>(5） 为本标段前期准备提供设计或咨询服务的法人或其任何附属机构（单位</w:t>
      </w:r>
      <w:r>
        <w:rPr>
          <w:spacing w:val="-9"/>
        </w:rPr>
        <w:t xml:space="preserve">）： </w:t>
      </w:r>
      <w:r>
        <w:t>(6） 为本标段的监理人 ：</w:t>
      </w:r>
    </w:p>
    <w:p>
      <w:pPr>
        <w:pStyle w:val="5"/>
        <w:spacing w:line="306" w:lineRule="exact"/>
        <w:ind w:left="1020"/>
      </w:pPr>
      <w:r>
        <w:t>(7） 为本标段的代建人 ；</w:t>
      </w:r>
    </w:p>
    <w:p>
      <w:pPr>
        <w:pStyle w:val="5"/>
        <w:spacing w:before="160"/>
        <w:ind w:left="1020"/>
      </w:pPr>
      <w:r>
        <w:t>(8） 为本标段的招标代理机构 ：</w:t>
      </w:r>
    </w:p>
    <w:p>
      <w:pPr>
        <w:pStyle w:val="5"/>
        <w:spacing w:before="158" w:line="364" w:lineRule="auto"/>
        <w:ind w:left="1020" w:right="1424"/>
      </w:pPr>
      <w:r>
        <w:t>(9） 与本标段的监理人或代建人或招标代理机构同为一个法定代表人 ； (10） 与本标段的监理人或代建人或招标代理机 构存在控股或参股关系 ； (11） 法律法规或投标人须知前附表规定的其他情形 。</w:t>
      </w:r>
    </w:p>
    <w:p>
      <w:pPr>
        <w:pStyle w:val="10"/>
        <w:numPr>
          <w:ilvl w:val="2"/>
          <w:numId w:val="6"/>
        </w:numPr>
        <w:tabs>
          <w:tab w:val="left" w:pos="1860"/>
          <w:tab w:val="left" w:pos="1861"/>
        </w:tabs>
        <w:spacing w:before="0" w:after="0" w:line="362" w:lineRule="auto"/>
        <w:ind w:left="1020" w:right="639" w:firstLine="0"/>
        <w:jc w:val="left"/>
        <w:rPr>
          <w:sz w:val="24"/>
        </w:rPr>
      </w:pPr>
      <w:r>
        <w:rPr>
          <w:sz w:val="24"/>
        </w:rPr>
        <w:t>投标人（包括联合体各成员）不得存在下列不良状况或不良信用记录 ： (1）</w:t>
      </w:r>
      <w:r>
        <w:rPr>
          <w:spacing w:val="-9"/>
          <w:sz w:val="24"/>
        </w:rPr>
        <w:t xml:space="preserve"> 被省级及以上交通运输主管部门取消招标项目所在地的投标资格且处于有效期</w:t>
      </w:r>
    </w:p>
    <w:p>
      <w:pPr>
        <w:pStyle w:val="5"/>
        <w:spacing w:before="5"/>
      </w:pPr>
      <w:r>
        <w:t>内；</w:t>
      </w:r>
    </w:p>
    <w:p>
      <w:pPr>
        <w:pStyle w:val="5"/>
        <w:spacing w:before="160"/>
        <w:ind w:left="1020"/>
      </w:pPr>
      <w:r>
        <w:t>(2） 被责令停业 ，暂扣或吊销执照 ，或吊销资质证书 ：</w:t>
      </w:r>
    </w:p>
    <w:p>
      <w:pPr>
        <w:pStyle w:val="5"/>
        <w:spacing w:before="158"/>
        <w:ind w:left="1020"/>
      </w:pPr>
      <w:r>
        <w:t>(3） 进入清算程序 ，或被宣告破产 ，或其他丧失履约能力的情形 ：</w:t>
      </w:r>
    </w:p>
    <w:p>
      <w:pPr>
        <w:pStyle w:val="5"/>
        <w:spacing w:before="159" w:line="364" w:lineRule="auto"/>
        <w:ind w:right="574" w:firstLine="480"/>
      </w:pPr>
      <w:r>
        <w:t>(4） 在国家企业信用信息公示系统</w:t>
      </w:r>
      <w:r>
        <w:fldChar w:fldCharType="begin"/>
      </w:r>
      <w:r>
        <w:instrText xml:space="preserve"> HYPERLINK "http://www.gsxt.gov.cn/" \h </w:instrText>
      </w:r>
      <w:r>
        <w:fldChar w:fldCharType="separate"/>
      </w:r>
      <w:r>
        <w:t>（http://www.gsxt.gov.cn/</w:t>
      </w:r>
      <w:r>
        <w:fldChar w:fldCharType="end"/>
      </w:r>
      <w:r>
        <w:t xml:space="preserve"> ）中被列入严重违法失信企业名单 ；</w:t>
      </w:r>
    </w:p>
    <w:p>
      <w:pPr>
        <w:pStyle w:val="5"/>
        <w:spacing w:line="364" w:lineRule="auto"/>
        <w:ind w:right="574" w:firstLine="480"/>
      </w:pPr>
      <w:r>
        <w:t xml:space="preserve">(5）在 “信用中国”网站 </w:t>
      </w:r>
      <w:r>
        <w:fldChar w:fldCharType="begin"/>
      </w:r>
      <w:r>
        <w:instrText xml:space="preserve"> HYPERLINK "http://www.creditchina.gov.cn/" \h </w:instrText>
      </w:r>
      <w:r>
        <w:fldChar w:fldCharType="separate"/>
      </w:r>
      <w:r>
        <w:t>（ http://www.creditchina.gov.cn/</w:t>
      </w:r>
      <w:r>
        <w:fldChar w:fldCharType="end"/>
      </w:r>
      <w:r>
        <w:t>）中被列入失信被执行人名单：</w:t>
      </w:r>
    </w:p>
    <w:p>
      <w:pPr>
        <w:pStyle w:val="5"/>
        <w:ind w:left="1020"/>
      </w:pPr>
      <w:r>
        <w:t>(6）法律法规或投标人须知前附表规定的其他情形。</w:t>
      </w:r>
    </w:p>
    <w:p>
      <w:pPr>
        <w:spacing w:after="0"/>
        <w:sectPr>
          <w:pgSz w:w="11910" w:h="16840"/>
          <w:pgMar w:top="1380" w:right="720" w:bottom="1080" w:left="820" w:header="746" w:footer="891" w:gutter="0"/>
          <w:cols w:space="720" w:num="1"/>
        </w:sectPr>
      </w:pPr>
    </w:p>
    <w:p>
      <w:pPr>
        <w:pStyle w:val="4"/>
        <w:numPr>
          <w:ilvl w:val="1"/>
          <w:numId w:val="6"/>
        </w:numPr>
        <w:tabs>
          <w:tab w:val="left" w:pos="1024"/>
        </w:tabs>
        <w:spacing w:before="61" w:after="0" w:line="240" w:lineRule="auto"/>
        <w:ind w:left="1023" w:right="0" w:hanging="484"/>
        <w:jc w:val="left"/>
      </w:pPr>
      <w:bookmarkStart w:id="17" w:name="1.5 费用承担"/>
      <w:bookmarkEnd w:id="17"/>
      <w:bookmarkStart w:id="18" w:name="1.5 费用承担"/>
      <w:bookmarkEnd w:id="18"/>
      <w:r>
        <w:t>费用承担</w:t>
      </w:r>
    </w:p>
    <w:p>
      <w:pPr>
        <w:pStyle w:val="5"/>
        <w:spacing w:before="160"/>
        <w:ind w:left="1020"/>
      </w:pPr>
      <w:r>
        <w:t>投标人准备和参加投标活动发生的费用自理。</w:t>
      </w:r>
    </w:p>
    <w:p>
      <w:pPr>
        <w:pStyle w:val="4"/>
        <w:numPr>
          <w:ilvl w:val="1"/>
          <w:numId w:val="6"/>
        </w:numPr>
        <w:tabs>
          <w:tab w:val="left" w:pos="1024"/>
        </w:tabs>
        <w:spacing w:before="158" w:after="0" w:line="240" w:lineRule="auto"/>
        <w:ind w:left="1023" w:right="0" w:hanging="484"/>
        <w:jc w:val="left"/>
      </w:pPr>
      <w:bookmarkStart w:id="19" w:name="1.6 保密"/>
      <w:bookmarkEnd w:id="19"/>
      <w:bookmarkStart w:id="20" w:name="1.6 保密"/>
      <w:bookmarkEnd w:id="20"/>
      <w:r>
        <w:t>保密</w:t>
      </w:r>
    </w:p>
    <w:p>
      <w:pPr>
        <w:pStyle w:val="5"/>
        <w:spacing w:before="161" w:line="362" w:lineRule="auto"/>
        <w:ind w:right="639" w:firstLine="480"/>
      </w:pPr>
      <w:r>
        <w:t>参与招标投标活动的各方应对招标文件和投标文件中的商业和技术等秘密保密，否则应承担相应的法律责任。</w:t>
      </w:r>
    </w:p>
    <w:p>
      <w:pPr>
        <w:pStyle w:val="4"/>
        <w:numPr>
          <w:ilvl w:val="1"/>
          <w:numId w:val="6"/>
        </w:numPr>
        <w:tabs>
          <w:tab w:val="left" w:pos="1024"/>
        </w:tabs>
        <w:spacing w:before="5" w:after="0" w:line="240" w:lineRule="auto"/>
        <w:ind w:left="1023" w:right="0" w:hanging="484"/>
        <w:jc w:val="left"/>
      </w:pPr>
      <w:bookmarkStart w:id="21" w:name="1.7 语言文字"/>
      <w:bookmarkEnd w:id="21"/>
      <w:bookmarkStart w:id="22" w:name="1.7 语言文字"/>
      <w:bookmarkEnd w:id="22"/>
      <w:r>
        <w:t>语言文字</w:t>
      </w:r>
    </w:p>
    <w:p>
      <w:pPr>
        <w:pStyle w:val="5"/>
        <w:spacing w:before="158"/>
        <w:ind w:left="1020"/>
      </w:pPr>
      <w:r>
        <w:t>招标投标文件使用的语言文字为中文。专用术语使用外文的外，应附有中文注释。</w:t>
      </w:r>
    </w:p>
    <w:p>
      <w:pPr>
        <w:pStyle w:val="4"/>
        <w:numPr>
          <w:ilvl w:val="1"/>
          <w:numId w:val="6"/>
        </w:numPr>
        <w:tabs>
          <w:tab w:val="left" w:pos="1024"/>
        </w:tabs>
        <w:spacing w:before="160" w:after="0" w:line="240" w:lineRule="auto"/>
        <w:ind w:left="1023" w:right="0" w:hanging="484"/>
        <w:jc w:val="left"/>
      </w:pPr>
      <w:bookmarkStart w:id="23" w:name="1.8 计量单位"/>
      <w:bookmarkEnd w:id="23"/>
      <w:bookmarkStart w:id="24" w:name="1.8 计量单位"/>
      <w:bookmarkEnd w:id="24"/>
      <w:r>
        <w:t>计量单位</w:t>
      </w:r>
    </w:p>
    <w:p>
      <w:pPr>
        <w:pStyle w:val="5"/>
        <w:spacing w:before="161"/>
        <w:ind w:left="1020"/>
      </w:pPr>
      <w:r>
        <w:t>所有计量均采用中华人民共和国法定计量单位。</w:t>
      </w:r>
    </w:p>
    <w:p>
      <w:pPr>
        <w:pStyle w:val="4"/>
        <w:numPr>
          <w:ilvl w:val="1"/>
          <w:numId w:val="6"/>
        </w:numPr>
        <w:tabs>
          <w:tab w:val="left" w:pos="1024"/>
        </w:tabs>
        <w:spacing w:before="158" w:after="0" w:line="240" w:lineRule="auto"/>
        <w:ind w:left="1023" w:right="0" w:hanging="484"/>
        <w:jc w:val="both"/>
      </w:pPr>
      <w:bookmarkStart w:id="25" w:name="1.9 踏勘现场（本项目不组织）"/>
      <w:bookmarkEnd w:id="25"/>
      <w:bookmarkStart w:id="26" w:name="1.9 踏勘现场（本项目不组织）"/>
      <w:bookmarkEnd w:id="26"/>
      <w:r>
        <w:t>踏勘现场（本项目不组织）</w:t>
      </w:r>
    </w:p>
    <w:p>
      <w:pPr>
        <w:pStyle w:val="10"/>
        <w:numPr>
          <w:ilvl w:val="2"/>
          <w:numId w:val="6"/>
        </w:numPr>
        <w:tabs>
          <w:tab w:val="left" w:pos="1741"/>
        </w:tabs>
        <w:spacing w:before="158" w:after="0" w:line="364" w:lineRule="auto"/>
        <w:ind w:left="540" w:right="639" w:firstLine="480"/>
        <w:jc w:val="both"/>
        <w:rPr>
          <w:sz w:val="24"/>
        </w:rPr>
      </w:pPr>
      <w:r>
        <w:rPr>
          <w:sz w:val="24"/>
        </w:rPr>
        <w:t>第一章“招标公告”或“投标邀请书”规定组织踏勘现场的，招标人按规定的时间、地点组织投标人踏勘项目现场。部分投标人未按时参加踏勘现场的，不影响踏勘现场的正常进行。招标人不得组织单个或部分投标人踏勘项目现场。</w:t>
      </w:r>
    </w:p>
    <w:p>
      <w:pPr>
        <w:pStyle w:val="10"/>
        <w:numPr>
          <w:ilvl w:val="2"/>
          <w:numId w:val="6"/>
        </w:numPr>
        <w:tabs>
          <w:tab w:val="left" w:pos="1741"/>
        </w:tabs>
        <w:spacing w:before="0" w:after="0" w:line="307" w:lineRule="exact"/>
        <w:ind w:left="1740" w:right="0" w:hanging="721"/>
        <w:jc w:val="both"/>
        <w:rPr>
          <w:sz w:val="24"/>
        </w:rPr>
      </w:pPr>
      <w:r>
        <w:rPr>
          <w:sz w:val="24"/>
        </w:rPr>
        <w:t>投标人踏勘现场发生的费用自理。</w:t>
      </w:r>
    </w:p>
    <w:p>
      <w:pPr>
        <w:pStyle w:val="10"/>
        <w:numPr>
          <w:ilvl w:val="2"/>
          <w:numId w:val="6"/>
        </w:numPr>
        <w:tabs>
          <w:tab w:val="left" w:pos="1741"/>
        </w:tabs>
        <w:spacing w:before="160" w:after="0" w:line="362" w:lineRule="auto"/>
        <w:ind w:left="540" w:right="642" w:firstLine="480"/>
        <w:jc w:val="both"/>
        <w:rPr>
          <w:sz w:val="24"/>
        </w:rPr>
      </w:pPr>
      <w:r>
        <w:rPr>
          <w:sz w:val="24"/>
        </w:rPr>
        <w:t>除招标人的原因外，投标人自行负责在踏勘现场中所发生的人员伤亡和财产损失。</w:t>
      </w:r>
    </w:p>
    <w:p>
      <w:pPr>
        <w:pStyle w:val="10"/>
        <w:numPr>
          <w:ilvl w:val="2"/>
          <w:numId w:val="6"/>
        </w:numPr>
        <w:tabs>
          <w:tab w:val="left" w:pos="1741"/>
        </w:tabs>
        <w:spacing w:before="5" w:after="0" w:line="362" w:lineRule="auto"/>
        <w:ind w:left="540" w:right="642" w:firstLine="480"/>
        <w:jc w:val="both"/>
        <w:rPr>
          <w:sz w:val="24"/>
        </w:rPr>
      </w:pPr>
      <w:r>
        <w:rPr>
          <w:sz w:val="24"/>
        </w:rPr>
        <w:t>招标人在踏勘现场中介绍的工程场地和相关的周边环境情况，供投标人在编制投标文件时参考，招标人不对投标人据此作出的判断和决策负责。</w:t>
      </w:r>
    </w:p>
    <w:p>
      <w:pPr>
        <w:pStyle w:val="10"/>
        <w:numPr>
          <w:ilvl w:val="2"/>
          <w:numId w:val="6"/>
        </w:numPr>
        <w:tabs>
          <w:tab w:val="left" w:pos="1741"/>
        </w:tabs>
        <w:spacing w:before="5" w:after="0" w:line="364" w:lineRule="auto"/>
        <w:ind w:left="540" w:right="639" w:firstLine="480"/>
        <w:jc w:val="both"/>
        <w:rPr>
          <w:sz w:val="24"/>
        </w:rPr>
      </w:pPr>
      <w:r>
        <w:rPr>
          <w:sz w:val="24"/>
        </w:rPr>
        <w:t>招标人提供的本合同工程的水文、地质、气象和料场分布、取土场、弃土场位置等参考资料，并不构成合同文件的组成部分，投标人应对自己对上述资料的解释、推论和应用负责，招标人不对投标人据此作出的判断和决策承担任何责任。</w:t>
      </w:r>
    </w:p>
    <w:p>
      <w:pPr>
        <w:pStyle w:val="4"/>
        <w:numPr>
          <w:ilvl w:val="1"/>
          <w:numId w:val="6"/>
        </w:numPr>
        <w:tabs>
          <w:tab w:val="left" w:pos="1146"/>
        </w:tabs>
        <w:spacing w:before="0" w:after="0" w:line="304" w:lineRule="exact"/>
        <w:ind w:left="1145" w:right="0" w:hanging="606"/>
        <w:jc w:val="both"/>
      </w:pPr>
      <w:bookmarkStart w:id="27" w:name="1.10 投标预备会（本项目不召开）"/>
      <w:bookmarkEnd w:id="27"/>
      <w:bookmarkStart w:id="28" w:name="1.10 投标预备会（本项目不召开）"/>
      <w:bookmarkEnd w:id="28"/>
      <w:r>
        <w:t>投标预备会（本项目不召开）</w:t>
      </w:r>
    </w:p>
    <w:p>
      <w:pPr>
        <w:pStyle w:val="10"/>
        <w:numPr>
          <w:ilvl w:val="2"/>
          <w:numId w:val="6"/>
        </w:numPr>
        <w:tabs>
          <w:tab w:val="left" w:pos="1861"/>
        </w:tabs>
        <w:spacing w:before="161" w:after="0" w:line="364" w:lineRule="auto"/>
        <w:ind w:left="540" w:right="639" w:firstLine="480"/>
        <w:jc w:val="left"/>
        <w:rPr>
          <w:sz w:val="24"/>
        </w:rPr>
      </w:pPr>
      <w:r>
        <w:rPr>
          <w:spacing w:val="-4"/>
          <w:sz w:val="24"/>
        </w:rPr>
        <w:t>投标人须知前附表规定召开投标预备会的，招标人按投标人须知前附表规定</w:t>
      </w:r>
      <w:r>
        <w:rPr>
          <w:sz w:val="24"/>
        </w:rPr>
        <w:t>的时间和地点召开投标预备会，澄清投标人提出的问题。</w:t>
      </w:r>
    </w:p>
    <w:p>
      <w:pPr>
        <w:pStyle w:val="10"/>
        <w:numPr>
          <w:ilvl w:val="2"/>
          <w:numId w:val="6"/>
        </w:numPr>
        <w:tabs>
          <w:tab w:val="left" w:pos="1861"/>
        </w:tabs>
        <w:spacing w:before="0" w:after="0" w:line="362" w:lineRule="auto"/>
        <w:ind w:left="540" w:right="584" w:firstLine="480"/>
        <w:jc w:val="left"/>
        <w:rPr>
          <w:sz w:val="24"/>
        </w:rPr>
      </w:pPr>
      <w:r>
        <w:rPr>
          <w:spacing w:val="-1"/>
          <w:sz w:val="24"/>
        </w:rPr>
        <w:t xml:space="preserve">投标人应按投标人须知前附表规定的时间和形式将提出的问题送达招标人， </w:t>
      </w:r>
      <w:r>
        <w:rPr>
          <w:sz w:val="24"/>
        </w:rPr>
        <w:t>以便招标人在会议期间澄清。</w:t>
      </w:r>
    </w:p>
    <w:p>
      <w:pPr>
        <w:pStyle w:val="10"/>
        <w:numPr>
          <w:ilvl w:val="2"/>
          <w:numId w:val="6"/>
        </w:numPr>
        <w:tabs>
          <w:tab w:val="left" w:pos="1861"/>
        </w:tabs>
        <w:spacing w:before="3" w:after="0" w:line="362" w:lineRule="auto"/>
        <w:ind w:left="540" w:right="639" w:firstLine="480"/>
        <w:jc w:val="left"/>
        <w:rPr>
          <w:sz w:val="24"/>
        </w:rPr>
      </w:pPr>
      <w:r>
        <w:rPr>
          <w:spacing w:val="-5"/>
          <w:sz w:val="24"/>
        </w:rPr>
        <w:t xml:space="preserve">投标预备会后 ，招标人将对投标人所提问题的澄清，以本章第 </w:t>
      </w:r>
      <w:r>
        <w:rPr>
          <w:sz w:val="24"/>
        </w:rPr>
        <w:t>2.2</w:t>
      </w:r>
      <w:r>
        <w:rPr>
          <w:spacing w:val="-4"/>
          <w:sz w:val="24"/>
        </w:rPr>
        <w:t xml:space="preserve"> 款规定</w:t>
      </w:r>
      <w:r>
        <w:rPr>
          <w:sz w:val="24"/>
        </w:rPr>
        <w:t>的形式通知所有购买招标文件的投标人。该澄清内容为招标文件的组成部分。</w:t>
      </w:r>
    </w:p>
    <w:p>
      <w:pPr>
        <w:pStyle w:val="4"/>
        <w:numPr>
          <w:ilvl w:val="1"/>
          <w:numId w:val="6"/>
        </w:numPr>
        <w:tabs>
          <w:tab w:val="left" w:pos="1146"/>
        </w:tabs>
        <w:spacing w:before="5" w:after="0" w:line="240" w:lineRule="auto"/>
        <w:ind w:left="1145" w:right="0" w:hanging="606"/>
        <w:jc w:val="left"/>
      </w:pPr>
      <w:r>
        <w:t>分包</w:t>
      </w:r>
    </w:p>
    <w:p>
      <w:pPr>
        <w:pStyle w:val="10"/>
        <w:numPr>
          <w:ilvl w:val="2"/>
          <w:numId w:val="6"/>
        </w:numPr>
        <w:tabs>
          <w:tab w:val="left" w:pos="1861"/>
        </w:tabs>
        <w:spacing w:before="161" w:after="0" w:line="240" w:lineRule="auto"/>
        <w:ind w:left="1860" w:right="0" w:hanging="841"/>
        <w:jc w:val="both"/>
        <w:rPr>
          <w:sz w:val="24"/>
        </w:rPr>
      </w:pPr>
      <w:r>
        <w:rPr>
          <w:spacing w:val="-3"/>
          <w:sz w:val="24"/>
        </w:rPr>
        <w:t>投标人拟在中标后将中标项目的部分非主体、非关键性工作进行分包的，应</w:t>
      </w:r>
    </w:p>
    <w:p>
      <w:pPr>
        <w:spacing w:after="0" w:line="240" w:lineRule="auto"/>
        <w:jc w:val="both"/>
        <w:rPr>
          <w:sz w:val="24"/>
        </w:rPr>
        <w:sectPr>
          <w:pgSz w:w="11910" w:h="16840"/>
          <w:pgMar w:top="1380" w:right="720" w:bottom="1080" w:left="820" w:header="746" w:footer="891" w:gutter="0"/>
          <w:cols w:space="720" w:num="1"/>
        </w:sectPr>
      </w:pPr>
    </w:p>
    <w:p>
      <w:pPr>
        <w:pStyle w:val="5"/>
        <w:spacing w:before="61"/>
        <w:jc w:val="both"/>
      </w:pPr>
      <w:r>
        <w:t>符合以下规定 ：</w:t>
      </w:r>
    </w:p>
    <w:p>
      <w:pPr>
        <w:pStyle w:val="5"/>
        <w:spacing w:before="160" w:line="364" w:lineRule="auto"/>
        <w:ind w:right="639" w:firstLine="480"/>
        <w:jc w:val="both"/>
      </w:pPr>
      <w:r>
        <w:t>(1）分包内容要求：允许分包的工程范围仅限于非关键性工程或适合专业化队伍施工的专项工程。招标人允许分包或不允许分包的专项工程（如有）应在投标人须知前附表中载明。</w:t>
      </w:r>
    </w:p>
    <w:p>
      <w:pPr>
        <w:pStyle w:val="5"/>
        <w:spacing w:line="364" w:lineRule="auto"/>
        <w:ind w:right="642" w:firstLine="480"/>
        <w:jc w:val="both"/>
      </w:pPr>
      <w:r>
        <w:t>(2）接受分包的第三人资格要求：分包人的资格能力应与其分包工程的标准和规模相适应 ，且具备投标人须知前附表中规定的资格条件。</w:t>
      </w:r>
    </w:p>
    <w:p>
      <w:pPr>
        <w:pStyle w:val="5"/>
        <w:spacing w:line="364" w:lineRule="auto"/>
        <w:ind w:right="639" w:firstLine="480"/>
        <w:jc w:val="both"/>
      </w:pPr>
      <w:r>
        <w:rPr>
          <w:spacing w:val="-17"/>
        </w:rPr>
        <w:t>(3）</w:t>
      </w:r>
      <w:r>
        <w:rPr>
          <w:spacing w:val="-16"/>
        </w:rPr>
        <w:t>其他要求：投标人如有分包计划，应按第九章“投标文件格式” 的要求填写“拟</w:t>
      </w:r>
      <w:r>
        <w:t>分包项目情况表”，明确拟分包的工程及规模，且投标人中标后的分包应满足合同条款第 4.3 款的相关要求 。</w:t>
      </w:r>
    </w:p>
    <w:p>
      <w:pPr>
        <w:pStyle w:val="10"/>
        <w:numPr>
          <w:ilvl w:val="2"/>
          <w:numId w:val="6"/>
        </w:numPr>
        <w:tabs>
          <w:tab w:val="left" w:pos="1621"/>
        </w:tabs>
        <w:spacing w:before="0" w:after="0" w:line="362" w:lineRule="auto"/>
        <w:ind w:left="540" w:right="639" w:firstLine="240"/>
        <w:jc w:val="both"/>
        <w:rPr>
          <w:sz w:val="24"/>
        </w:rPr>
      </w:pPr>
      <w:bookmarkStart w:id="29" w:name="1.11.2 中标人不得向他人转让中标项目 ，接受分包的人不得再次分包。中标人应"/>
      <w:bookmarkEnd w:id="29"/>
      <w:bookmarkStart w:id="30" w:name="1.11.2 中标人不得向他人转让中标项目 ，接受分包的人不得再次分包。中标人应"/>
      <w:bookmarkEnd w:id="30"/>
      <w:r>
        <w:rPr>
          <w:sz w:val="24"/>
        </w:rPr>
        <w:t>中标人不得向他人转让中标项目 ，接受分包的人不得再次分包。中标人应就分包项目向招标人负责，接受分包的人就分包项目承担连带责任。</w:t>
      </w:r>
    </w:p>
    <w:p>
      <w:pPr>
        <w:pStyle w:val="4"/>
        <w:numPr>
          <w:ilvl w:val="1"/>
          <w:numId w:val="6"/>
        </w:numPr>
        <w:tabs>
          <w:tab w:val="left" w:pos="1146"/>
        </w:tabs>
        <w:spacing w:before="0" w:after="0" w:line="240" w:lineRule="auto"/>
        <w:ind w:left="1145" w:right="0" w:hanging="606"/>
        <w:jc w:val="both"/>
      </w:pPr>
      <w:bookmarkStart w:id="31" w:name="1.12 响应和偏离"/>
      <w:bookmarkEnd w:id="31"/>
      <w:bookmarkStart w:id="32" w:name="1.12 响应和偏离"/>
      <w:bookmarkEnd w:id="32"/>
      <w:r>
        <w:t>响应和偏离</w:t>
      </w:r>
    </w:p>
    <w:p>
      <w:pPr>
        <w:pStyle w:val="10"/>
        <w:numPr>
          <w:ilvl w:val="2"/>
          <w:numId w:val="6"/>
        </w:numPr>
        <w:tabs>
          <w:tab w:val="left" w:pos="1861"/>
        </w:tabs>
        <w:spacing w:before="161" w:after="0" w:line="362" w:lineRule="auto"/>
        <w:ind w:left="540" w:right="639" w:firstLine="480"/>
        <w:jc w:val="left"/>
        <w:rPr>
          <w:sz w:val="24"/>
        </w:rPr>
      </w:pPr>
      <w:r>
        <w:rPr>
          <w:spacing w:val="-4"/>
          <w:sz w:val="24"/>
        </w:rPr>
        <w:t>投标文件偏离招标文件某些要求，视为投标文件存在偏差。偏差包括重大偏</w:t>
      </w:r>
      <w:r>
        <w:rPr>
          <w:sz w:val="24"/>
        </w:rPr>
        <w:t>差和细微偏差。</w:t>
      </w:r>
    </w:p>
    <w:p>
      <w:pPr>
        <w:pStyle w:val="10"/>
        <w:numPr>
          <w:ilvl w:val="2"/>
          <w:numId w:val="6"/>
        </w:numPr>
        <w:tabs>
          <w:tab w:val="left" w:pos="1866"/>
        </w:tabs>
        <w:spacing w:before="5" w:after="0" w:line="362" w:lineRule="auto"/>
        <w:ind w:left="540" w:right="639" w:firstLine="480"/>
        <w:jc w:val="left"/>
        <w:rPr>
          <w:sz w:val="24"/>
        </w:rPr>
      </w:pPr>
      <w:r>
        <w:rPr>
          <w:spacing w:val="3"/>
          <w:sz w:val="24"/>
        </w:rPr>
        <w:t>投标文件应对招标文件的实质性要求和条件作出满足性或更有利于招标人的响应，否则，视为投标文件存在重大偏差，投标人的投标将被否决。</w:t>
      </w:r>
    </w:p>
    <w:p>
      <w:pPr>
        <w:pStyle w:val="5"/>
        <w:spacing w:before="5" w:line="362" w:lineRule="auto"/>
        <w:ind w:right="641" w:firstLine="480"/>
      </w:pPr>
      <w:r>
        <w:t>投标文件存在第三章“评标办法”中所列任一否决投标情形的，均属于存在重大偏差。</w:t>
      </w:r>
    </w:p>
    <w:p>
      <w:pPr>
        <w:pStyle w:val="10"/>
        <w:numPr>
          <w:ilvl w:val="2"/>
          <w:numId w:val="6"/>
        </w:numPr>
        <w:tabs>
          <w:tab w:val="left" w:pos="1980"/>
          <w:tab w:val="left" w:pos="1981"/>
        </w:tabs>
        <w:spacing w:before="5" w:after="0" w:line="240" w:lineRule="auto"/>
        <w:ind w:left="1980" w:right="0" w:hanging="961"/>
        <w:jc w:val="left"/>
        <w:rPr>
          <w:sz w:val="24"/>
        </w:rPr>
      </w:pPr>
      <w:r>
        <w:rPr>
          <w:sz w:val="24"/>
        </w:rPr>
        <w:t>投标文件中的下列偏差为细微偏差 ：</w:t>
      </w:r>
    </w:p>
    <w:p>
      <w:pPr>
        <w:pStyle w:val="5"/>
        <w:spacing w:before="158" w:line="364" w:lineRule="auto"/>
        <w:ind w:right="584" w:firstLine="480"/>
        <w:jc w:val="both"/>
      </w:pPr>
      <w:r>
        <w:t>(1）在按照第三章“评标办法”的规定对投标价进行算术性错误修正及其他错误修正后，最终投标报价未超过最高投标限价（如有）的情况下，出现第三章 “评标办法” 规定的算术性错误和投标报价的其他错误；</w:t>
      </w:r>
    </w:p>
    <w:p>
      <w:pPr>
        <w:pStyle w:val="5"/>
        <w:spacing w:line="307" w:lineRule="exact"/>
        <w:ind w:left="1020"/>
        <w:jc w:val="both"/>
      </w:pPr>
      <w:r>
        <w:t>(2）施工组织设计（含关键工程技术方案）和项目管理机构不够完善 ；</w:t>
      </w:r>
    </w:p>
    <w:p>
      <w:pPr>
        <w:pStyle w:val="5"/>
        <w:spacing w:before="160" w:line="362" w:lineRule="auto"/>
        <w:ind w:right="642" w:firstLine="480"/>
      </w:pPr>
      <w:r>
        <w:t>(3）投标文件页码不连续、采用活页夹装订、个别文字有遗漏错误等不影响投标文件实质性内容的偏差。</w:t>
      </w:r>
    </w:p>
    <w:p>
      <w:pPr>
        <w:pStyle w:val="10"/>
        <w:numPr>
          <w:ilvl w:val="2"/>
          <w:numId w:val="6"/>
        </w:numPr>
        <w:tabs>
          <w:tab w:val="left" w:pos="1861"/>
        </w:tabs>
        <w:spacing w:before="3" w:after="0" w:line="240" w:lineRule="auto"/>
        <w:ind w:left="1860" w:right="0" w:hanging="841"/>
        <w:jc w:val="left"/>
        <w:rPr>
          <w:sz w:val="24"/>
        </w:rPr>
      </w:pPr>
      <w:r>
        <w:rPr>
          <w:sz w:val="24"/>
        </w:rPr>
        <w:t>评标委员会对投标文件中的细微偏差按如下规定处理：</w:t>
      </w:r>
    </w:p>
    <w:p>
      <w:pPr>
        <w:pStyle w:val="5"/>
        <w:spacing w:before="160" w:line="362" w:lineRule="auto"/>
        <w:ind w:right="574" w:firstLine="480"/>
      </w:pPr>
      <w:r>
        <w:t>(1）对于本章第 1.12.3 项 (1）目所述的细微偏差，按照第三章“评标办法”的规定予以修正并要求投标人进行澄清：</w:t>
      </w:r>
    </w:p>
    <w:p>
      <w:pPr>
        <w:pStyle w:val="5"/>
        <w:spacing w:before="5" w:line="364" w:lineRule="auto"/>
        <w:ind w:right="574" w:firstLine="480"/>
      </w:pPr>
      <w:r>
        <w:t>(2）对于本章第 1.12.3 项 (2）目所述的细微偏差，如果采用合理低价法或经评审的最低投标价法评标，应要求投标人对细微偏差进行澄清，只有投标人的澄清文件被评</w:t>
      </w:r>
    </w:p>
    <w:p>
      <w:pPr>
        <w:spacing w:after="0" w:line="364" w:lineRule="auto"/>
        <w:sectPr>
          <w:footerReference r:id="rId9" w:type="default"/>
          <w:pgSz w:w="11910" w:h="16840"/>
          <w:pgMar w:top="1380" w:right="720" w:bottom="1080" w:left="820" w:header="746" w:footer="891" w:gutter="0"/>
          <w:pgNumType w:start="20"/>
          <w:cols w:space="720" w:num="1"/>
        </w:sectPr>
      </w:pPr>
    </w:p>
    <w:p>
      <w:pPr>
        <w:pStyle w:val="5"/>
        <w:spacing w:before="61" w:line="364" w:lineRule="auto"/>
        <w:ind w:right="639"/>
      </w:pPr>
      <w:r>
        <w:t>标委员会接受，投标人才能参加评标价的最终评比。如果采用技术评分最低标价法或综合评分法评标，可在相关评分因素的评分中酌情扣分；</w:t>
      </w:r>
    </w:p>
    <w:p>
      <w:pPr>
        <w:pStyle w:val="5"/>
        <w:spacing w:line="364" w:lineRule="auto"/>
        <w:ind w:right="574" w:firstLine="480"/>
      </w:pPr>
      <w:r>
        <w:t>(3）对于本章第 1.12.3 项（2）目所述的细微偏差，可要求投标人对细微偏差进行澄清。</w:t>
      </w:r>
    </w:p>
    <w:p>
      <w:pPr>
        <w:pStyle w:val="10"/>
        <w:numPr>
          <w:ilvl w:val="2"/>
          <w:numId w:val="6"/>
        </w:numPr>
        <w:tabs>
          <w:tab w:val="left" w:pos="1866"/>
        </w:tabs>
        <w:spacing w:before="0" w:after="0" w:line="364" w:lineRule="auto"/>
        <w:ind w:left="540" w:right="639" w:firstLine="480"/>
        <w:jc w:val="left"/>
        <w:rPr>
          <w:sz w:val="24"/>
        </w:rPr>
      </w:pPr>
      <w:r>
        <w:rPr>
          <w:spacing w:val="3"/>
          <w:sz w:val="24"/>
        </w:rPr>
        <w:t>投标人应根据招标文件的要求提供施工组织设计等内容以对招标文件作出响应。</w:t>
      </w:r>
    </w:p>
    <w:p>
      <w:pPr>
        <w:pStyle w:val="4"/>
        <w:numPr>
          <w:ilvl w:val="0"/>
          <w:numId w:val="6"/>
        </w:numPr>
        <w:tabs>
          <w:tab w:val="left" w:pos="904"/>
        </w:tabs>
        <w:spacing w:before="0" w:after="0" w:line="306" w:lineRule="exact"/>
        <w:ind w:left="903" w:right="0" w:hanging="364"/>
        <w:jc w:val="left"/>
      </w:pPr>
      <w:bookmarkStart w:id="33" w:name="2. 招标文件"/>
      <w:bookmarkEnd w:id="33"/>
      <w:bookmarkStart w:id="34" w:name="2. 招标文件"/>
      <w:bookmarkEnd w:id="34"/>
      <w:r>
        <w:t>招标文件</w:t>
      </w:r>
    </w:p>
    <w:p>
      <w:pPr>
        <w:pStyle w:val="10"/>
        <w:numPr>
          <w:ilvl w:val="1"/>
          <w:numId w:val="6"/>
        </w:numPr>
        <w:tabs>
          <w:tab w:val="left" w:pos="1024"/>
        </w:tabs>
        <w:spacing w:before="158" w:after="0" w:line="364" w:lineRule="auto"/>
        <w:ind w:left="1020" w:right="7424" w:hanging="480"/>
        <w:jc w:val="left"/>
        <w:rPr>
          <w:sz w:val="24"/>
        </w:rPr>
      </w:pPr>
      <w:bookmarkStart w:id="35" w:name="2.1 招标文件的组成"/>
      <w:bookmarkEnd w:id="35"/>
      <w:bookmarkStart w:id="36" w:name="2.1 招标文件的组成"/>
      <w:bookmarkEnd w:id="36"/>
      <w:r>
        <w:rPr>
          <w:b/>
          <w:sz w:val="24"/>
        </w:rPr>
        <w:t>招标文件的组成</w:t>
      </w:r>
      <w:r>
        <w:rPr>
          <w:spacing w:val="-3"/>
          <w:sz w:val="24"/>
        </w:rPr>
        <w:t>本招标文件包括：</w:t>
      </w:r>
    </w:p>
    <w:p>
      <w:pPr>
        <w:pStyle w:val="10"/>
        <w:numPr>
          <w:ilvl w:val="0"/>
          <w:numId w:val="9"/>
        </w:numPr>
        <w:tabs>
          <w:tab w:val="left" w:pos="1622"/>
        </w:tabs>
        <w:spacing w:before="0" w:after="0" w:line="306" w:lineRule="exact"/>
        <w:ind w:left="1621" w:right="0" w:hanging="602"/>
        <w:jc w:val="left"/>
        <w:rPr>
          <w:sz w:val="24"/>
        </w:rPr>
      </w:pPr>
      <w:r>
        <w:rPr>
          <w:sz w:val="24"/>
        </w:rPr>
        <w:t>招标公告；</w:t>
      </w:r>
    </w:p>
    <w:p>
      <w:pPr>
        <w:pStyle w:val="10"/>
        <w:numPr>
          <w:ilvl w:val="0"/>
          <w:numId w:val="9"/>
        </w:numPr>
        <w:tabs>
          <w:tab w:val="left" w:pos="1622"/>
        </w:tabs>
        <w:spacing w:before="158" w:after="0" w:line="240" w:lineRule="auto"/>
        <w:ind w:left="1621" w:right="0" w:hanging="602"/>
        <w:jc w:val="left"/>
        <w:rPr>
          <w:sz w:val="24"/>
        </w:rPr>
      </w:pPr>
      <w:r>
        <w:rPr>
          <w:sz w:val="24"/>
        </w:rPr>
        <w:t>投标人须知；</w:t>
      </w:r>
    </w:p>
    <w:p>
      <w:pPr>
        <w:pStyle w:val="10"/>
        <w:numPr>
          <w:ilvl w:val="0"/>
          <w:numId w:val="9"/>
        </w:numPr>
        <w:tabs>
          <w:tab w:val="left" w:pos="1622"/>
        </w:tabs>
        <w:spacing w:before="160" w:after="0" w:line="240" w:lineRule="auto"/>
        <w:ind w:left="1621" w:right="0" w:hanging="602"/>
        <w:jc w:val="left"/>
        <w:rPr>
          <w:sz w:val="24"/>
        </w:rPr>
      </w:pPr>
      <w:r>
        <w:rPr>
          <w:sz w:val="24"/>
        </w:rPr>
        <w:t>评标办法；</w:t>
      </w:r>
    </w:p>
    <w:p>
      <w:pPr>
        <w:pStyle w:val="10"/>
        <w:numPr>
          <w:ilvl w:val="0"/>
          <w:numId w:val="9"/>
        </w:numPr>
        <w:tabs>
          <w:tab w:val="left" w:pos="1622"/>
        </w:tabs>
        <w:spacing w:before="161" w:after="0" w:line="240" w:lineRule="auto"/>
        <w:ind w:left="1621" w:right="0" w:hanging="602"/>
        <w:jc w:val="left"/>
        <w:rPr>
          <w:sz w:val="24"/>
        </w:rPr>
      </w:pPr>
      <w:r>
        <w:rPr>
          <w:sz w:val="24"/>
        </w:rPr>
        <w:t>合同条款及格式；</w:t>
      </w:r>
    </w:p>
    <w:p>
      <w:pPr>
        <w:pStyle w:val="10"/>
        <w:numPr>
          <w:ilvl w:val="0"/>
          <w:numId w:val="9"/>
        </w:numPr>
        <w:tabs>
          <w:tab w:val="left" w:pos="1622"/>
        </w:tabs>
        <w:spacing w:before="158" w:after="0" w:line="240" w:lineRule="auto"/>
        <w:ind w:left="1621" w:right="0" w:hanging="602"/>
        <w:jc w:val="left"/>
        <w:rPr>
          <w:sz w:val="24"/>
        </w:rPr>
      </w:pPr>
      <w:r>
        <w:rPr>
          <w:sz w:val="24"/>
        </w:rPr>
        <w:t>工程量清单；</w:t>
      </w:r>
    </w:p>
    <w:p>
      <w:pPr>
        <w:pStyle w:val="10"/>
        <w:numPr>
          <w:ilvl w:val="0"/>
          <w:numId w:val="9"/>
        </w:numPr>
        <w:tabs>
          <w:tab w:val="left" w:pos="1622"/>
        </w:tabs>
        <w:spacing w:before="160" w:after="0" w:line="240" w:lineRule="auto"/>
        <w:ind w:left="1621" w:right="0" w:hanging="602"/>
        <w:jc w:val="left"/>
        <w:rPr>
          <w:sz w:val="24"/>
        </w:rPr>
      </w:pPr>
      <w:r>
        <w:rPr>
          <w:sz w:val="24"/>
        </w:rPr>
        <w:t>图纸；</w:t>
      </w:r>
    </w:p>
    <w:p>
      <w:pPr>
        <w:pStyle w:val="10"/>
        <w:numPr>
          <w:ilvl w:val="0"/>
          <w:numId w:val="9"/>
        </w:numPr>
        <w:tabs>
          <w:tab w:val="left" w:pos="1622"/>
        </w:tabs>
        <w:spacing w:before="158" w:after="0" w:line="240" w:lineRule="auto"/>
        <w:ind w:left="1621" w:right="0" w:hanging="602"/>
        <w:jc w:val="left"/>
        <w:rPr>
          <w:sz w:val="24"/>
        </w:rPr>
      </w:pPr>
      <w:r>
        <w:rPr>
          <w:sz w:val="24"/>
        </w:rPr>
        <w:t>技术规范；</w:t>
      </w:r>
    </w:p>
    <w:p>
      <w:pPr>
        <w:pStyle w:val="10"/>
        <w:numPr>
          <w:ilvl w:val="0"/>
          <w:numId w:val="9"/>
        </w:numPr>
        <w:tabs>
          <w:tab w:val="left" w:pos="1622"/>
        </w:tabs>
        <w:spacing w:before="161" w:after="0" w:line="240" w:lineRule="auto"/>
        <w:ind w:left="1621" w:right="0" w:hanging="602"/>
        <w:jc w:val="left"/>
        <w:rPr>
          <w:sz w:val="24"/>
        </w:rPr>
      </w:pPr>
      <w:r>
        <w:rPr>
          <w:sz w:val="24"/>
        </w:rPr>
        <w:t>工程量清单计量规则</w:t>
      </w:r>
    </w:p>
    <w:p>
      <w:pPr>
        <w:pStyle w:val="10"/>
        <w:numPr>
          <w:ilvl w:val="0"/>
          <w:numId w:val="9"/>
        </w:numPr>
        <w:tabs>
          <w:tab w:val="left" w:pos="1622"/>
        </w:tabs>
        <w:spacing w:before="158" w:after="0" w:line="240" w:lineRule="auto"/>
        <w:ind w:left="1621" w:right="0" w:hanging="602"/>
        <w:jc w:val="left"/>
        <w:rPr>
          <w:sz w:val="24"/>
        </w:rPr>
      </w:pPr>
      <w:r>
        <w:rPr>
          <w:sz w:val="24"/>
        </w:rPr>
        <w:t>投标文件格式；</w:t>
      </w:r>
    </w:p>
    <w:p>
      <w:pPr>
        <w:pStyle w:val="5"/>
        <w:spacing w:before="161" w:line="362" w:lineRule="auto"/>
        <w:ind w:right="639" w:firstLine="480"/>
      </w:pPr>
      <w:r>
        <w:rPr>
          <w:spacing w:val="-10"/>
        </w:rPr>
        <w:t xml:space="preserve">根据本章第 </w:t>
      </w:r>
      <w:r>
        <w:t>1.10</w:t>
      </w:r>
      <w:r>
        <w:rPr>
          <w:spacing w:val="-29"/>
        </w:rPr>
        <w:t xml:space="preserve"> 款、第 </w:t>
      </w:r>
      <w:r>
        <w:t>2.2</w:t>
      </w:r>
      <w:r>
        <w:rPr>
          <w:spacing w:val="-24"/>
        </w:rPr>
        <w:t xml:space="preserve"> 款和第 </w:t>
      </w:r>
      <w:r>
        <w:t>2.3</w:t>
      </w:r>
      <w:r>
        <w:rPr>
          <w:spacing w:val="-11"/>
        </w:rPr>
        <w:t xml:space="preserve"> 款对招标文件所作的澄清、修改，构成招标</w:t>
      </w:r>
      <w:r>
        <w:t>文件的组成部分。</w:t>
      </w:r>
    </w:p>
    <w:p>
      <w:pPr>
        <w:pStyle w:val="5"/>
        <w:spacing w:before="4" w:line="362" w:lineRule="auto"/>
        <w:ind w:right="639" w:firstLine="480"/>
      </w:pPr>
      <w:r>
        <w:t>当招标文件、招标文件的澄清或修改等在同一内容的表述上不一致时，以最后发出的书面文件为准。</w:t>
      </w:r>
    </w:p>
    <w:p>
      <w:pPr>
        <w:pStyle w:val="4"/>
        <w:numPr>
          <w:ilvl w:val="1"/>
          <w:numId w:val="6"/>
        </w:numPr>
        <w:tabs>
          <w:tab w:val="left" w:pos="1024"/>
        </w:tabs>
        <w:spacing w:before="5" w:after="0" w:line="240" w:lineRule="auto"/>
        <w:ind w:left="1023" w:right="0" w:hanging="484"/>
        <w:jc w:val="left"/>
      </w:pPr>
      <w:bookmarkStart w:id="37" w:name="2.2 招标文件的澄清"/>
      <w:bookmarkEnd w:id="37"/>
      <w:bookmarkStart w:id="38" w:name="2.2 招标文件的澄清"/>
      <w:bookmarkEnd w:id="38"/>
      <w:r>
        <w:t>招标文件的澄清</w:t>
      </w:r>
    </w:p>
    <w:p>
      <w:pPr>
        <w:pStyle w:val="10"/>
        <w:numPr>
          <w:ilvl w:val="2"/>
          <w:numId w:val="6"/>
        </w:numPr>
        <w:tabs>
          <w:tab w:val="left" w:pos="1681"/>
        </w:tabs>
        <w:spacing w:before="161" w:after="0" w:line="362" w:lineRule="auto"/>
        <w:ind w:left="540" w:right="639" w:firstLine="480"/>
        <w:jc w:val="both"/>
        <w:rPr>
          <w:sz w:val="24"/>
        </w:rPr>
      </w:pPr>
      <w:r>
        <w:rPr>
          <w:spacing w:val="-6"/>
          <w:sz w:val="24"/>
        </w:rPr>
        <w:t>投标人应仔细阅读和检查招标文件的全部内容。如发现缺页或附件不全，应及</w:t>
      </w:r>
      <w:r>
        <w:rPr>
          <w:sz w:val="24"/>
        </w:rPr>
        <w:t>时向招标人提出，以便补齐。如有疑问，应按投标人须知前附表规定的时间和形式将提出的问题送达招标人，要求招标人对招标文件予以澄清。</w:t>
      </w:r>
    </w:p>
    <w:p>
      <w:pPr>
        <w:pStyle w:val="10"/>
        <w:numPr>
          <w:ilvl w:val="2"/>
          <w:numId w:val="6"/>
        </w:numPr>
        <w:tabs>
          <w:tab w:val="left" w:pos="1741"/>
        </w:tabs>
        <w:spacing w:before="6" w:after="0" w:line="364" w:lineRule="auto"/>
        <w:ind w:left="540" w:right="639" w:firstLine="480"/>
        <w:jc w:val="both"/>
        <w:rPr>
          <w:sz w:val="24"/>
        </w:rPr>
      </w:pPr>
      <w:r>
        <w:rPr>
          <w:sz w:val="24"/>
        </w:rPr>
        <w:t>招标文件的澄清以投标人须知前附表规定的形式发给所有购买招标文件的投</w:t>
      </w:r>
      <w:r>
        <w:rPr>
          <w:spacing w:val="-2"/>
          <w:sz w:val="24"/>
        </w:rPr>
        <w:t xml:space="preserve">标人，但不指明澄清问题的来源。澄清发出的时间距本章第 </w:t>
      </w:r>
      <w:r>
        <w:rPr>
          <w:sz w:val="24"/>
        </w:rPr>
        <w:t>4.2.1</w:t>
      </w:r>
      <w:r>
        <w:rPr>
          <w:spacing w:val="-6"/>
          <w:sz w:val="24"/>
        </w:rPr>
        <w:t xml:space="preserve"> 项规定的投标截止时</w:t>
      </w:r>
      <w:r>
        <w:rPr>
          <w:spacing w:val="-20"/>
          <w:sz w:val="24"/>
        </w:rPr>
        <w:t xml:space="preserve">间不足 </w:t>
      </w:r>
      <w:r>
        <w:rPr>
          <w:sz w:val="24"/>
        </w:rPr>
        <w:t>15</w:t>
      </w:r>
      <w:r>
        <w:rPr>
          <w:spacing w:val="-8"/>
          <w:sz w:val="24"/>
        </w:rPr>
        <w:t xml:space="preserve"> 日，且澄清内容可能影响投标文件编制的，将相应延长投标截止时间。</w:t>
      </w:r>
    </w:p>
    <w:p>
      <w:pPr>
        <w:pStyle w:val="10"/>
        <w:numPr>
          <w:ilvl w:val="2"/>
          <w:numId w:val="6"/>
        </w:numPr>
        <w:tabs>
          <w:tab w:val="left" w:pos="1741"/>
        </w:tabs>
        <w:spacing w:before="0" w:after="0" w:line="307" w:lineRule="exact"/>
        <w:ind w:left="1740" w:right="0" w:hanging="721"/>
        <w:jc w:val="both"/>
        <w:rPr>
          <w:sz w:val="24"/>
        </w:rPr>
      </w:pPr>
      <w:r>
        <w:rPr>
          <w:spacing w:val="-6"/>
          <w:sz w:val="24"/>
        </w:rPr>
        <w:t>投标人在收到澄清后，应按投标人须知前附表规定的时间和形式通知招标人，</w:t>
      </w:r>
    </w:p>
    <w:p>
      <w:pPr>
        <w:spacing w:after="0" w:line="307" w:lineRule="exact"/>
        <w:jc w:val="both"/>
        <w:rPr>
          <w:sz w:val="24"/>
        </w:rPr>
        <w:sectPr>
          <w:pgSz w:w="11910" w:h="16840"/>
          <w:pgMar w:top="1380" w:right="720" w:bottom="1080" w:left="820" w:header="746" w:footer="891" w:gutter="0"/>
          <w:cols w:space="720" w:num="1"/>
        </w:sectPr>
      </w:pPr>
    </w:p>
    <w:p>
      <w:pPr>
        <w:pStyle w:val="5"/>
        <w:spacing w:before="61"/>
      </w:pPr>
      <w:r>
        <w:t>确认己收到该澄清。</w:t>
      </w:r>
    </w:p>
    <w:p>
      <w:pPr>
        <w:pStyle w:val="10"/>
        <w:numPr>
          <w:ilvl w:val="2"/>
          <w:numId w:val="6"/>
        </w:numPr>
        <w:tabs>
          <w:tab w:val="left" w:pos="1684"/>
        </w:tabs>
        <w:spacing w:before="160" w:after="0" w:line="240" w:lineRule="auto"/>
        <w:ind w:left="1683" w:right="0" w:hanging="664"/>
        <w:jc w:val="left"/>
        <w:rPr>
          <w:sz w:val="24"/>
        </w:rPr>
      </w:pPr>
      <w:r>
        <w:rPr>
          <w:sz w:val="24"/>
        </w:rPr>
        <w:t>除非招标人认为确有必要答复，否则，招标人有权拒绝回复投标人在本章第</w:t>
      </w:r>
    </w:p>
    <w:p>
      <w:pPr>
        <w:pStyle w:val="5"/>
        <w:spacing w:before="158"/>
      </w:pPr>
      <w:r>
        <w:t>2.2.1 页规定的时间后提出的任何澄清要求。</w:t>
      </w:r>
    </w:p>
    <w:p>
      <w:pPr>
        <w:pStyle w:val="4"/>
        <w:numPr>
          <w:ilvl w:val="1"/>
          <w:numId w:val="6"/>
        </w:numPr>
        <w:tabs>
          <w:tab w:val="left" w:pos="1024"/>
        </w:tabs>
        <w:spacing w:before="161" w:after="0" w:line="240" w:lineRule="auto"/>
        <w:ind w:left="1023" w:right="0" w:hanging="484"/>
        <w:jc w:val="left"/>
      </w:pPr>
      <w:bookmarkStart w:id="39" w:name="2.3 招标文件的修改"/>
      <w:bookmarkEnd w:id="39"/>
      <w:bookmarkStart w:id="40" w:name="2.3 招标文件的修改"/>
      <w:bookmarkEnd w:id="40"/>
      <w:r>
        <w:t>招标文件的修改</w:t>
      </w:r>
    </w:p>
    <w:p>
      <w:pPr>
        <w:pStyle w:val="10"/>
        <w:numPr>
          <w:ilvl w:val="2"/>
          <w:numId w:val="6"/>
        </w:numPr>
        <w:tabs>
          <w:tab w:val="left" w:pos="1741"/>
        </w:tabs>
        <w:spacing w:before="158" w:after="0" w:line="364" w:lineRule="auto"/>
        <w:ind w:left="540" w:right="519" w:firstLine="480"/>
        <w:jc w:val="left"/>
        <w:rPr>
          <w:sz w:val="24"/>
        </w:rPr>
      </w:pPr>
      <w:r>
        <w:rPr>
          <w:sz w:val="24"/>
        </w:rPr>
        <w:t>招标人以投标人须知前附表规定的形式修改招标文件，并通知所有己购买招</w:t>
      </w:r>
      <w:r>
        <w:rPr>
          <w:spacing w:val="-14"/>
          <w:sz w:val="24"/>
        </w:rPr>
        <w:t xml:space="preserve">标文件的投标人。修改招标文件的时间距本章第 </w:t>
      </w:r>
      <w:r>
        <w:rPr>
          <w:sz w:val="24"/>
        </w:rPr>
        <w:t>4.2.1</w:t>
      </w:r>
      <w:r>
        <w:rPr>
          <w:spacing w:val="-14"/>
          <w:sz w:val="24"/>
        </w:rPr>
        <w:t xml:space="preserve"> 项规定的投标截止时间不足 </w:t>
      </w:r>
      <w:r>
        <w:rPr>
          <w:sz w:val="24"/>
        </w:rPr>
        <w:t>15</w:t>
      </w:r>
      <w:r>
        <w:rPr>
          <w:spacing w:val="-31"/>
          <w:sz w:val="24"/>
        </w:rPr>
        <w:t xml:space="preserve"> 日， </w:t>
      </w:r>
      <w:r>
        <w:rPr>
          <w:sz w:val="24"/>
        </w:rPr>
        <w:t>且修改 内容可能影响投标文件编制的，将相应延长投标截止时间。</w:t>
      </w:r>
    </w:p>
    <w:p>
      <w:pPr>
        <w:pStyle w:val="10"/>
        <w:numPr>
          <w:ilvl w:val="2"/>
          <w:numId w:val="6"/>
        </w:numPr>
        <w:tabs>
          <w:tab w:val="left" w:pos="1741"/>
        </w:tabs>
        <w:spacing w:before="0" w:after="0" w:line="364" w:lineRule="auto"/>
        <w:ind w:left="540" w:right="642" w:firstLine="480"/>
        <w:jc w:val="left"/>
        <w:rPr>
          <w:sz w:val="24"/>
        </w:rPr>
      </w:pPr>
      <w:r>
        <w:rPr>
          <w:sz w:val="24"/>
        </w:rPr>
        <w:t>投标人收到修改内容后，应按投标人须知前附表规定的时间和形式通知招标人，确认已收到该修改。</w:t>
      </w:r>
    </w:p>
    <w:p>
      <w:pPr>
        <w:pStyle w:val="4"/>
        <w:numPr>
          <w:ilvl w:val="1"/>
          <w:numId w:val="6"/>
        </w:numPr>
        <w:tabs>
          <w:tab w:val="left" w:pos="1024"/>
        </w:tabs>
        <w:spacing w:before="0" w:after="0" w:line="306" w:lineRule="exact"/>
        <w:ind w:left="1023" w:right="0" w:hanging="484"/>
        <w:jc w:val="left"/>
      </w:pPr>
      <w:bookmarkStart w:id="41" w:name="2.4 对招标文件的异议"/>
      <w:bookmarkEnd w:id="41"/>
      <w:bookmarkStart w:id="42" w:name="2.4 对招标文件的异议"/>
      <w:bookmarkEnd w:id="42"/>
      <w:r>
        <w:t>对招标文件的异议</w:t>
      </w:r>
    </w:p>
    <w:p>
      <w:pPr>
        <w:pStyle w:val="5"/>
        <w:spacing w:before="157"/>
        <w:ind w:left="1020"/>
      </w:pPr>
      <w:r>
        <w:t>投标人或其他利害关系人对招标文件有异议的，应在投标截止时间 10 日前以书面形</w:t>
      </w:r>
    </w:p>
    <w:p>
      <w:pPr>
        <w:pStyle w:val="5"/>
        <w:spacing w:before="161" w:line="364" w:lineRule="auto"/>
        <w:ind w:right="574"/>
      </w:pPr>
      <w:r>
        <w:t>式提出。招标人将在收到异议之日起 3 日内作出答复：作出答复前，将暂停招标投标活动。</w:t>
      </w:r>
    </w:p>
    <w:p>
      <w:pPr>
        <w:pStyle w:val="4"/>
        <w:numPr>
          <w:ilvl w:val="0"/>
          <w:numId w:val="6"/>
        </w:numPr>
        <w:tabs>
          <w:tab w:val="left" w:pos="904"/>
        </w:tabs>
        <w:spacing w:before="0" w:after="0" w:line="306" w:lineRule="exact"/>
        <w:ind w:left="903" w:right="0" w:hanging="364"/>
        <w:jc w:val="left"/>
      </w:pPr>
      <w:bookmarkStart w:id="43" w:name="3. 投标文件"/>
      <w:bookmarkEnd w:id="43"/>
      <w:bookmarkStart w:id="44" w:name="3. 投标文件"/>
      <w:bookmarkEnd w:id="44"/>
      <w:r>
        <w:t>投标文件</w:t>
      </w:r>
    </w:p>
    <w:p>
      <w:pPr>
        <w:pStyle w:val="4"/>
        <w:numPr>
          <w:ilvl w:val="1"/>
          <w:numId w:val="6"/>
        </w:numPr>
        <w:tabs>
          <w:tab w:val="left" w:pos="1024"/>
        </w:tabs>
        <w:spacing w:before="160" w:after="0" w:line="240" w:lineRule="auto"/>
        <w:ind w:left="1023" w:right="0" w:hanging="484"/>
        <w:jc w:val="left"/>
      </w:pPr>
      <w:bookmarkStart w:id="45" w:name="3.1 投标文件的组成"/>
      <w:bookmarkEnd w:id="45"/>
      <w:bookmarkStart w:id="46" w:name="3.1 投标文件的组成"/>
      <w:bookmarkEnd w:id="46"/>
      <w:r>
        <w:t>投标文件的组成</w:t>
      </w:r>
    </w:p>
    <w:p>
      <w:pPr>
        <w:pStyle w:val="5"/>
        <w:spacing w:before="158"/>
        <w:ind w:left="780"/>
      </w:pPr>
      <w:bookmarkStart w:id="47" w:name="根据投标人须知前附表规定的不同形式，投标文件的组成应满足相应条款要求。"/>
      <w:bookmarkEnd w:id="47"/>
      <w:r>
        <w:t>根据投标人须知前附表规定的不同形式，投标文件的组成应满足相应条款要求。</w:t>
      </w:r>
    </w:p>
    <w:p>
      <w:pPr>
        <w:pStyle w:val="10"/>
        <w:numPr>
          <w:ilvl w:val="2"/>
          <w:numId w:val="6"/>
        </w:numPr>
        <w:tabs>
          <w:tab w:val="left" w:pos="1741"/>
        </w:tabs>
        <w:spacing w:before="161" w:after="0" w:line="362" w:lineRule="auto"/>
        <w:ind w:left="1020" w:right="5744" w:firstLine="0"/>
        <w:jc w:val="left"/>
        <w:rPr>
          <w:sz w:val="24"/>
        </w:rPr>
      </w:pPr>
      <w:r>
        <w:rPr>
          <w:spacing w:val="-2"/>
          <w:sz w:val="24"/>
        </w:rPr>
        <w:t xml:space="preserve">投标文件应包括下列内容： </w:t>
      </w:r>
      <w:r>
        <w:rPr>
          <w:sz w:val="24"/>
        </w:rPr>
        <w:t>第一部分（商务及技术文件）：</w:t>
      </w:r>
    </w:p>
    <w:p>
      <w:pPr>
        <w:pStyle w:val="10"/>
        <w:numPr>
          <w:ilvl w:val="0"/>
          <w:numId w:val="10"/>
        </w:numPr>
        <w:tabs>
          <w:tab w:val="left" w:pos="1622"/>
        </w:tabs>
        <w:spacing w:before="5" w:after="0" w:line="240" w:lineRule="auto"/>
        <w:ind w:left="1621" w:right="0" w:hanging="602"/>
        <w:jc w:val="left"/>
        <w:rPr>
          <w:sz w:val="24"/>
        </w:rPr>
      </w:pPr>
      <w:r>
        <w:rPr>
          <w:sz w:val="24"/>
        </w:rPr>
        <w:t>投标函及投标函附录；</w:t>
      </w:r>
    </w:p>
    <w:p>
      <w:pPr>
        <w:pStyle w:val="10"/>
        <w:numPr>
          <w:ilvl w:val="0"/>
          <w:numId w:val="10"/>
        </w:numPr>
        <w:tabs>
          <w:tab w:val="left" w:pos="1622"/>
        </w:tabs>
        <w:spacing w:before="158" w:after="0" w:line="240" w:lineRule="auto"/>
        <w:ind w:left="1621" w:right="0" w:hanging="602"/>
        <w:jc w:val="left"/>
        <w:rPr>
          <w:sz w:val="24"/>
        </w:rPr>
      </w:pPr>
      <w:r>
        <w:rPr>
          <w:sz w:val="24"/>
        </w:rPr>
        <w:t>授权委托书或法定代表人身份证明；</w:t>
      </w:r>
    </w:p>
    <w:p>
      <w:pPr>
        <w:pStyle w:val="10"/>
        <w:numPr>
          <w:ilvl w:val="0"/>
          <w:numId w:val="10"/>
        </w:numPr>
        <w:tabs>
          <w:tab w:val="left" w:pos="1622"/>
        </w:tabs>
        <w:spacing w:before="160" w:after="0" w:line="240" w:lineRule="auto"/>
        <w:ind w:left="1621" w:right="0" w:hanging="602"/>
        <w:jc w:val="left"/>
        <w:rPr>
          <w:sz w:val="24"/>
        </w:rPr>
      </w:pPr>
      <w:r>
        <w:rPr>
          <w:sz w:val="24"/>
        </w:rPr>
        <w:t>投标保证金；</w:t>
      </w:r>
    </w:p>
    <w:p>
      <w:pPr>
        <w:pStyle w:val="10"/>
        <w:numPr>
          <w:ilvl w:val="0"/>
          <w:numId w:val="10"/>
        </w:numPr>
        <w:tabs>
          <w:tab w:val="left" w:pos="1622"/>
        </w:tabs>
        <w:spacing w:before="158" w:after="0" w:line="240" w:lineRule="auto"/>
        <w:ind w:left="1621" w:right="0" w:hanging="602"/>
        <w:jc w:val="left"/>
        <w:rPr>
          <w:sz w:val="24"/>
        </w:rPr>
      </w:pPr>
      <w:r>
        <w:rPr>
          <w:sz w:val="24"/>
        </w:rPr>
        <w:t>施工组织设计；</w:t>
      </w:r>
    </w:p>
    <w:p>
      <w:pPr>
        <w:pStyle w:val="10"/>
        <w:numPr>
          <w:ilvl w:val="0"/>
          <w:numId w:val="10"/>
        </w:numPr>
        <w:tabs>
          <w:tab w:val="left" w:pos="1622"/>
        </w:tabs>
        <w:spacing w:before="161" w:after="0" w:line="240" w:lineRule="auto"/>
        <w:ind w:left="1621" w:right="0" w:hanging="602"/>
        <w:jc w:val="left"/>
        <w:rPr>
          <w:sz w:val="24"/>
        </w:rPr>
      </w:pPr>
      <w:r>
        <w:rPr>
          <w:sz w:val="24"/>
        </w:rPr>
        <w:t>项目管理机构；</w:t>
      </w:r>
    </w:p>
    <w:p>
      <w:pPr>
        <w:pStyle w:val="10"/>
        <w:numPr>
          <w:ilvl w:val="0"/>
          <w:numId w:val="10"/>
        </w:numPr>
        <w:tabs>
          <w:tab w:val="left" w:pos="1622"/>
        </w:tabs>
        <w:spacing w:before="160" w:after="0" w:line="240" w:lineRule="auto"/>
        <w:ind w:left="1621" w:right="0" w:hanging="602"/>
        <w:jc w:val="left"/>
        <w:rPr>
          <w:sz w:val="24"/>
        </w:rPr>
      </w:pPr>
      <w:r>
        <w:rPr>
          <w:sz w:val="24"/>
        </w:rPr>
        <w:t>资格审查资料；</w:t>
      </w:r>
    </w:p>
    <w:p>
      <w:pPr>
        <w:pStyle w:val="10"/>
        <w:numPr>
          <w:ilvl w:val="0"/>
          <w:numId w:val="10"/>
        </w:numPr>
        <w:tabs>
          <w:tab w:val="left" w:pos="1622"/>
        </w:tabs>
        <w:spacing w:before="159" w:after="0" w:line="240" w:lineRule="auto"/>
        <w:ind w:left="1621" w:right="0" w:hanging="602"/>
        <w:jc w:val="left"/>
        <w:rPr>
          <w:sz w:val="24"/>
        </w:rPr>
      </w:pPr>
      <w:r>
        <w:rPr>
          <w:sz w:val="24"/>
        </w:rPr>
        <w:t>其他资料。</w:t>
      </w:r>
    </w:p>
    <w:p>
      <w:pPr>
        <w:pStyle w:val="5"/>
        <w:spacing w:before="158"/>
        <w:ind w:left="1020"/>
      </w:pPr>
      <w:r>
        <w:t>第二部分（报价文件）：</w:t>
      </w:r>
    </w:p>
    <w:p>
      <w:pPr>
        <w:pStyle w:val="10"/>
        <w:numPr>
          <w:ilvl w:val="0"/>
          <w:numId w:val="11"/>
        </w:numPr>
        <w:tabs>
          <w:tab w:val="left" w:pos="1622"/>
        </w:tabs>
        <w:spacing w:before="160" w:after="0" w:line="240" w:lineRule="auto"/>
        <w:ind w:left="1621" w:right="0" w:hanging="602"/>
        <w:jc w:val="left"/>
        <w:rPr>
          <w:sz w:val="24"/>
        </w:rPr>
      </w:pPr>
      <w:r>
        <w:rPr>
          <w:sz w:val="24"/>
        </w:rPr>
        <w:t>投标函；</w:t>
      </w:r>
    </w:p>
    <w:p>
      <w:pPr>
        <w:pStyle w:val="10"/>
        <w:numPr>
          <w:ilvl w:val="0"/>
          <w:numId w:val="11"/>
        </w:numPr>
        <w:tabs>
          <w:tab w:val="left" w:pos="1622"/>
        </w:tabs>
        <w:spacing w:before="158" w:after="0" w:line="240" w:lineRule="auto"/>
        <w:ind w:left="1621" w:right="0" w:hanging="602"/>
        <w:jc w:val="left"/>
        <w:rPr>
          <w:sz w:val="24"/>
        </w:rPr>
      </w:pPr>
      <w:r>
        <w:rPr>
          <w:sz w:val="24"/>
        </w:rPr>
        <w:t>已标价工程量清单；</w:t>
      </w:r>
    </w:p>
    <w:p>
      <w:pPr>
        <w:pStyle w:val="10"/>
        <w:numPr>
          <w:ilvl w:val="0"/>
          <w:numId w:val="11"/>
        </w:numPr>
        <w:tabs>
          <w:tab w:val="left" w:pos="1622"/>
        </w:tabs>
        <w:spacing w:before="161" w:after="0" w:line="240" w:lineRule="auto"/>
        <w:ind w:left="1621" w:right="0" w:hanging="602"/>
        <w:jc w:val="left"/>
        <w:rPr>
          <w:sz w:val="24"/>
        </w:rPr>
      </w:pPr>
      <w:r>
        <w:rPr>
          <w:sz w:val="24"/>
        </w:rPr>
        <w:t>合同用款估算表。</w:t>
      </w:r>
    </w:p>
    <w:p>
      <w:pPr>
        <w:pStyle w:val="5"/>
        <w:spacing w:before="160"/>
        <w:ind w:left="1020"/>
      </w:pPr>
      <w:r>
        <w:t>投标人在评标过程中作出的符合法律法规和招标文件规定的澄清确认，构成投标文</w:t>
      </w:r>
    </w:p>
    <w:p>
      <w:pPr>
        <w:spacing w:after="0"/>
        <w:sectPr>
          <w:pgSz w:w="11910" w:h="16840"/>
          <w:pgMar w:top="1380" w:right="720" w:bottom="1080" w:left="820" w:header="746" w:footer="891" w:gutter="0"/>
          <w:cols w:space="720" w:num="1"/>
        </w:sectPr>
      </w:pPr>
    </w:p>
    <w:p>
      <w:pPr>
        <w:pStyle w:val="5"/>
        <w:spacing w:before="61"/>
      </w:pPr>
      <w:r>
        <w:t>件的组成部分。</w:t>
      </w:r>
    </w:p>
    <w:p>
      <w:pPr>
        <w:pStyle w:val="4"/>
        <w:numPr>
          <w:ilvl w:val="1"/>
          <w:numId w:val="6"/>
        </w:numPr>
        <w:tabs>
          <w:tab w:val="left" w:pos="1024"/>
        </w:tabs>
        <w:spacing w:before="160" w:after="0" w:line="240" w:lineRule="auto"/>
        <w:ind w:left="1023" w:right="0" w:hanging="484"/>
        <w:jc w:val="both"/>
      </w:pPr>
      <w:bookmarkStart w:id="48" w:name="3.2 投标报价"/>
      <w:bookmarkEnd w:id="48"/>
      <w:bookmarkStart w:id="49" w:name="3.2 投标报价"/>
      <w:bookmarkEnd w:id="49"/>
      <w:r>
        <w:t>投标报价</w:t>
      </w:r>
    </w:p>
    <w:p>
      <w:pPr>
        <w:pStyle w:val="10"/>
        <w:numPr>
          <w:ilvl w:val="2"/>
          <w:numId w:val="6"/>
        </w:numPr>
        <w:tabs>
          <w:tab w:val="left" w:pos="1741"/>
        </w:tabs>
        <w:spacing w:before="158" w:after="0" w:line="364" w:lineRule="auto"/>
        <w:ind w:left="540" w:right="639" w:firstLine="480"/>
        <w:jc w:val="both"/>
        <w:rPr>
          <w:sz w:val="24"/>
        </w:rPr>
      </w:pPr>
      <w:r>
        <w:rPr>
          <w:sz w:val="24"/>
        </w:rPr>
        <w:t>投标报价应包括国家规定的增值税税金，除投标人须知前附表另有规定外， 增值税税金按一般计税方法计算。投标人应按第九章“投标文件格式”的要求在投标函中进行报价并填写工程量清单相应表格。</w:t>
      </w:r>
    </w:p>
    <w:p>
      <w:pPr>
        <w:pStyle w:val="10"/>
        <w:numPr>
          <w:ilvl w:val="2"/>
          <w:numId w:val="6"/>
        </w:numPr>
        <w:tabs>
          <w:tab w:val="left" w:pos="1741"/>
        </w:tabs>
        <w:spacing w:before="0" w:after="0" w:line="307" w:lineRule="exact"/>
        <w:ind w:left="1740" w:right="0" w:hanging="721"/>
        <w:jc w:val="both"/>
        <w:rPr>
          <w:sz w:val="24"/>
        </w:rPr>
      </w:pPr>
      <w:r>
        <w:rPr>
          <w:sz w:val="24"/>
        </w:rPr>
        <w:t>投标人应充分了解本项目的总体情况以及影响投标报价的其他要素。</w:t>
      </w:r>
    </w:p>
    <w:p>
      <w:pPr>
        <w:pStyle w:val="5"/>
        <w:spacing w:before="158" w:line="364" w:lineRule="auto"/>
        <w:ind w:right="639" w:firstLine="480"/>
        <w:jc w:val="both"/>
      </w:pPr>
      <w:r>
        <w:t>3.3.3</w:t>
      </w:r>
      <w:r>
        <w:rPr>
          <w:spacing w:val="-15"/>
        </w:rPr>
        <w:t xml:space="preserve"> 本项目的报价方式见投标人须知前附表。投标人在投标截止时间前修改投标函</w:t>
      </w:r>
      <w:r>
        <w:t>中的投标总报价，应同时修改投标文件“已标价工程量清单”中的相应报价。此修改须</w:t>
      </w:r>
      <w:r>
        <w:rPr>
          <w:spacing w:val="-10"/>
        </w:rPr>
        <w:t xml:space="preserve">符合本章第 </w:t>
      </w:r>
      <w:r>
        <w:t>4.3</w:t>
      </w:r>
      <w:r>
        <w:rPr>
          <w:spacing w:val="-8"/>
        </w:rPr>
        <w:t xml:space="preserve"> 款的有关要求。</w:t>
      </w:r>
    </w:p>
    <w:p>
      <w:pPr>
        <w:pStyle w:val="10"/>
        <w:numPr>
          <w:ilvl w:val="2"/>
          <w:numId w:val="12"/>
        </w:numPr>
        <w:tabs>
          <w:tab w:val="left" w:pos="1681"/>
        </w:tabs>
        <w:spacing w:before="0" w:after="0" w:line="362" w:lineRule="auto"/>
        <w:ind w:left="540" w:right="639" w:firstLine="480"/>
        <w:jc w:val="both"/>
        <w:rPr>
          <w:sz w:val="24"/>
        </w:rPr>
      </w:pPr>
      <w:r>
        <w:rPr>
          <w:spacing w:val="-6"/>
          <w:sz w:val="24"/>
        </w:rPr>
        <w:t>投标人如果发现工程量清单中的数量与图纸中数量不一致时，应立即通知招标</w:t>
      </w:r>
      <w:r>
        <w:rPr>
          <w:sz w:val="24"/>
        </w:rPr>
        <w:t>人核查，除非招标人以书面方式予以更正，否则，应以工程量清单中列出的数量为准。</w:t>
      </w:r>
    </w:p>
    <w:p>
      <w:pPr>
        <w:pStyle w:val="10"/>
        <w:numPr>
          <w:ilvl w:val="2"/>
          <w:numId w:val="12"/>
        </w:numPr>
        <w:tabs>
          <w:tab w:val="left" w:pos="1681"/>
        </w:tabs>
        <w:spacing w:before="5" w:after="0" w:line="364" w:lineRule="auto"/>
        <w:ind w:left="540" w:right="639" w:firstLine="480"/>
        <w:jc w:val="both"/>
        <w:rPr>
          <w:sz w:val="24"/>
        </w:rPr>
      </w:pPr>
      <w:r>
        <w:rPr>
          <w:spacing w:val="-11"/>
          <w:sz w:val="24"/>
        </w:rPr>
        <w:t>投标人应根据《公路水运工程安全生产监督管理办法》，在投标总价中计入安</w:t>
      </w:r>
      <w:r>
        <w:rPr>
          <w:spacing w:val="-2"/>
          <w:sz w:val="24"/>
        </w:rPr>
        <w:t xml:space="preserve">全生产费用，安全生产费用按招标文件规定计取。工程量清单 </w:t>
      </w:r>
      <w:r>
        <w:rPr>
          <w:sz w:val="24"/>
        </w:rPr>
        <w:t>100</w:t>
      </w:r>
      <w:r>
        <w:rPr>
          <w:spacing w:val="-6"/>
          <w:sz w:val="24"/>
        </w:rPr>
        <w:t xml:space="preserve"> 章内列有上述安全生产费的支付子目，由投标人按招标文件的规定填写总额价。</w:t>
      </w:r>
    </w:p>
    <w:p>
      <w:pPr>
        <w:pStyle w:val="10"/>
        <w:numPr>
          <w:ilvl w:val="2"/>
          <w:numId w:val="12"/>
        </w:numPr>
        <w:tabs>
          <w:tab w:val="left" w:pos="1741"/>
        </w:tabs>
        <w:spacing w:before="0" w:after="0" w:line="364" w:lineRule="auto"/>
        <w:ind w:left="540" w:right="641" w:firstLine="480"/>
        <w:jc w:val="both"/>
        <w:rPr>
          <w:b/>
          <w:sz w:val="24"/>
        </w:rPr>
      </w:pPr>
      <w:r>
        <w:rPr>
          <w:sz w:val="24"/>
        </w:rPr>
        <w:t>除投标人须知前附表另有规定外，招标人不接受调价函。若招标人接受调价函，则应在招标文件中给出调价函的格式。投标人若有调价函则应遵循如下规定：</w:t>
      </w:r>
      <w:r>
        <w:rPr>
          <w:b/>
          <w:sz w:val="24"/>
        </w:rPr>
        <w:t>（本项目不接受调价函）</w:t>
      </w:r>
    </w:p>
    <w:p>
      <w:pPr>
        <w:pStyle w:val="10"/>
        <w:numPr>
          <w:ilvl w:val="0"/>
          <w:numId w:val="13"/>
        </w:numPr>
        <w:tabs>
          <w:tab w:val="left" w:pos="1622"/>
        </w:tabs>
        <w:spacing w:before="0" w:after="0" w:line="364" w:lineRule="auto"/>
        <w:ind w:left="540" w:right="639" w:firstLine="480"/>
        <w:jc w:val="left"/>
        <w:rPr>
          <w:sz w:val="24"/>
        </w:rPr>
      </w:pPr>
      <w:r>
        <w:rPr>
          <w:spacing w:val="-3"/>
          <w:sz w:val="24"/>
        </w:rPr>
        <w:t>调价函必须采用招标文件规定的格式；调价函应说明调价后的最终报价，并以</w:t>
      </w:r>
      <w:r>
        <w:rPr>
          <w:sz w:val="24"/>
        </w:rPr>
        <w:t>最终报价为准，而且投标人只能有一次调价的机会。</w:t>
      </w:r>
    </w:p>
    <w:p>
      <w:pPr>
        <w:pStyle w:val="10"/>
        <w:numPr>
          <w:ilvl w:val="0"/>
          <w:numId w:val="13"/>
        </w:numPr>
        <w:tabs>
          <w:tab w:val="left" w:pos="1622"/>
        </w:tabs>
        <w:spacing w:before="0" w:after="0" w:line="306" w:lineRule="exact"/>
        <w:ind w:left="1621" w:right="0" w:hanging="602"/>
        <w:jc w:val="left"/>
        <w:rPr>
          <w:sz w:val="24"/>
        </w:rPr>
      </w:pPr>
      <w:r>
        <w:rPr>
          <w:sz w:val="24"/>
        </w:rPr>
        <w:t>工程量清单中招标人指定的报价不允许调价。</w:t>
      </w:r>
    </w:p>
    <w:p>
      <w:pPr>
        <w:pStyle w:val="10"/>
        <w:numPr>
          <w:ilvl w:val="0"/>
          <w:numId w:val="13"/>
        </w:numPr>
        <w:tabs>
          <w:tab w:val="left" w:pos="1622"/>
        </w:tabs>
        <w:spacing w:before="156" w:after="0" w:line="362" w:lineRule="auto"/>
        <w:ind w:left="540" w:right="639" w:firstLine="480"/>
        <w:jc w:val="left"/>
        <w:rPr>
          <w:sz w:val="24"/>
        </w:rPr>
      </w:pPr>
      <w:r>
        <w:rPr>
          <w:spacing w:val="-2"/>
          <w:sz w:val="24"/>
        </w:rPr>
        <w:t>调价函必须附有调价后的工程量清单；调价函必须粘贴或机械装订在投标文</w:t>
      </w:r>
      <w:r>
        <w:rPr>
          <w:spacing w:val="-4"/>
          <w:sz w:val="24"/>
        </w:rPr>
        <w:t>件正本首页，与投标文件一起密封提交。</w:t>
      </w:r>
    </w:p>
    <w:p>
      <w:pPr>
        <w:pStyle w:val="5"/>
        <w:spacing w:before="5" w:line="364" w:lineRule="auto"/>
        <w:ind w:right="639" w:firstLine="480"/>
        <w:jc w:val="both"/>
      </w:pPr>
      <w:r>
        <w:t>若投标人未提交调价后的工程量清单，或调价函未装在投标文件正本首页，调价函均视为无效，仍以原报价作为最终报价，若投标人提交的调价函多于一个，或对不允许调价的内容进行了调价，或调价函有附加条件，其投标将被否决。</w:t>
      </w:r>
    </w:p>
    <w:p>
      <w:pPr>
        <w:pStyle w:val="10"/>
        <w:numPr>
          <w:ilvl w:val="0"/>
          <w:numId w:val="13"/>
        </w:numPr>
        <w:tabs>
          <w:tab w:val="left" w:pos="1622"/>
        </w:tabs>
        <w:spacing w:before="0" w:after="0" w:line="364" w:lineRule="auto"/>
        <w:ind w:left="540" w:right="639" w:firstLine="480"/>
        <w:jc w:val="left"/>
        <w:rPr>
          <w:sz w:val="24"/>
        </w:rPr>
      </w:pPr>
      <w:r>
        <w:rPr>
          <w:spacing w:val="-3"/>
          <w:sz w:val="24"/>
        </w:rPr>
        <w:t>若招标人接受调价函，投标人调价后的工程量清单和有效调价函的大写金额</w:t>
      </w:r>
      <w:r>
        <w:rPr>
          <w:spacing w:val="-4"/>
          <w:sz w:val="24"/>
        </w:rPr>
        <w:t>报价应保持一致，如果报价金额出现差异，则以有效调价函的大写金额报价为准。</w:t>
      </w:r>
    </w:p>
    <w:p>
      <w:pPr>
        <w:pStyle w:val="10"/>
        <w:numPr>
          <w:ilvl w:val="2"/>
          <w:numId w:val="12"/>
        </w:numPr>
        <w:tabs>
          <w:tab w:val="left" w:pos="1900"/>
        </w:tabs>
        <w:spacing w:before="0" w:after="0" w:line="364" w:lineRule="auto"/>
        <w:ind w:left="694" w:right="740" w:firstLine="482"/>
        <w:jc w:val="both"/>
        <w:rPr>
          <w:sz w:val="24"/>
        </w:rPr>
      </w:pPr>
      <w:r>
        <w:rPr>
          <w:sz w:val="24"/>
        </w:rPr>
        <w:t>在合同实施期间，投标人填写的单价、合价和总额价是否由于物价波动进</w:t>
      </w:r>
      <w:r>
        <w:rPr>
          <w:spacing w:val="-4"/>
          <w:sz w:val="24"/>
        </w:rPr>
        <w:t xml:space="preserve">行价格调整按照合同条款第 </w:t>
      </w:r>
      <w:r>
        <w:rPr>
          <w:sz w:val="24"/>
        </w:rPr>
        <w:t>16.1</w:t>
      </w:r>
      <w:r>
        <w:rPr>
          <w:spacing w:val="-11"/>
          <w:sz w:val="24"/>
        </w:rPr>
        <w:t xml:space="preserve"> 款的规定处理。如果按照合同条款第 </w:t>
      </w:r>
      <w:r>
        <w:rPr>
          <w:sz w:val="24"/>
        </w:rPr>
        <w:t>16.1.1</w:t>
      </w:r>
      <w:r>
        <w:rPr>
          <w:spacing w:val="-14"/>
          <w:sz w:val="24"/>
        </w:rPr>
        <w:t xml:space="preserve"> 项的规定采用价格调整公式进行价格调整，由招标人根据项目实际情况测算确定价格调整公</w:t>
      </w:r>
    </w:p>
    <w:p>
      <w:pPr>
        <w:spacing w:after="0" w:line="364" w:lineRule="auto"/>
        <w:jc w:val="both"/>
        <w:rPr>
          <w:sz w:val="24"/>
        </w:rPr>
        <w:sectPr>
          <w:pgSz w:w="11910" w:h="16840"/>
          <w:pgMar w:top="1380" w:right="720" w:bottom="1080" w:left="820" w:header="746" w:footer="891" w:gutter="0"/>
          <w:cols w:space="720" w:num="1"/>
        </w:sectPr>
      </w:pPr>
    </w:p>
    <w:p>
      <w:pPr>
        <w:pStyle w:val="5"/>
        <w:spacing w:before="61" w:line="364" w:lineRule="auto"/>
        <w:ind w:left="694" w:right="740"/>
      </w:pPr>
      <w:r>
        <w:t>式中的变值权重范围，并在投标函附录价格指数和权重表中约定范围；投标人在次范围内填写各可调因子的权重，合同实施期间将按此权重进行调价。</w:t>
      </w:r>
    </w:p>
    <w:p>
      <w:pPr>
        <w:pStyle w:val="10"/>
        <w:numPr>
          <w:ilvl w:val="2"/>
          <w:numId w:val="12"/>
        </w:numPr>
        <w:tabs>
          <w:tab w:val="left" w:pos="1900"/>
        </w:tabs>
        <w:spacing w:before="0" w:after="0" w:line="364" w:lineRule="auto"/>
        <w:ind w:left="694" w:right="740" w:firstLine="482"/>
        <w:jc w:val="left"/>
        <w:rPr>
          <w:sz w:val="24"/>
        </w:rPr>
      </w:pPr>
      <w:r>
        <w:rPr>
          <w:sz w:val="24"/>
        </w:rPr>
        <w:t>招标人设有最高投标限价的，投标人的投标报价不得超过最高投标限价， 最高投标限价在投标人须知前附表中载明。</w:t>
      </w:r>
    </w:p>
    <w:p>
      <w:pPr>
        <w:pStyle w:val="10"/>
        <w:numPr>
          <w:ilvl w:val="2"/>
          <w:numId w:val="12"/>
        </w:numPr>
        <w:tabs>
          <w:tab w:val="left" w:pos="2016"/>
          <w:tab w:val="left" w:pos="2017"/>
        </w:tabs>
        <w:spacing w:before="0" w:after="0" w:line="306" w:lineRule="exact"/>
        <w:ind w:left="2016" w:right="0" w:hanging="841"/>
        <w:jc w:val="left"/>
        <w:rPr>
          <w:sz w:val="24"/>
        </w:rPr>
      </w:pPr>
      <w:r>
        <w:rPr>
          <w:sz w:val="24"/>
        </w:rPr>
        <w:t>投标报价的其他要求见投标人须知前附表。</w:t>
      </w:r>
    </w:p>
    <w:p>
      <w:pPr>
        <w:pStyle w:val="4"/>
        <w:numPr>
          <w:ilvl w:val="1"/>
          <w:numId w:val="6"/>
        </w:numPr>
        <w:tabs>
          <w:tab w:val="left" w:pos="1024"/>
        </w:tabs>
        <w:spacing w:before="159" w:after="0" w:line="240" w:lineRule="auto"/>
        <w:ind w:left="1023" w:right="0" w:hanging="484"/>
        <w:jc w:val="left"/>
      </w:pPr>
      <w:bookmarkStart w:id="50" w:name="3.3 投标有效期"/>
      <w:bookmarkEnd w:id="50"/>
      <w:bookmarkStart w:id="51" w:name="3.3 投标有效期"/>
      <w:bookmarkEnd w:id="51"/>
      <w:r>
        <w:t>投标有效期</w:t>
      </w:r>
    </w:p>
    <w:p>
      <w:pPr>
        <w:pStyle w:val="10"/>
        <w:numPr>
          <w:ilvl w:val="2"/>
          <w:numId w:val="6"/>
        </w:numPr>
        <w:tabs>
          <w:tab w:val="left" w:pos="1837"/>
        </w:tabs>
        <w:spacing w:before="158" w:after="0" w:line="240" w:lineRule="auto"/>
        <w:ind w:left="1836" w:right="0" w:hanging="661"/>
        <w:jc w:val="left"/>
        <w:rPr>
          <w:sz w:val="24"/>
        </w:rPr>
      </w:pPr>
      <w:r>
        <w:rPr>
          <w:spacing w:val="-2"/>
          <w:sz w:val="24"/>
        </w:rPr>
        <w:t xml:space="preserve">除投标人须知前附表另有规定外，自递交投标文件截止之日起计算 </w:t>
      </w:r>
      <w:r>
        <w:rPr>
          <w:sz w:val="24"/>
        </w:rPr>
        <w:t>90</w:t>
      </w:r>
      <w:r>
        <w:rPr>
          <w:spacing w:val="-20"/>
          <w:sz w:val="24"/>
        </w:rPr>
        <w:t xml:space="preserve"> 天。</w:t>
      </w:r>
    </w:p>
    <w:p>
      <w:pPr>
        <w:pStyle w:val="10"/>
        <w:numPr>
          <w:ilvl w:val="2"/>
          <w:numId w:val="6"/>
        </w:numPr>
        <w:tabs>
          <w:tab w:val="left" w:pos="1842"/>
        </w:tabs>
        <w:spacing w:before="160" w:after="0" w:line="240" w:lineRule="auto"/>
        <w:ind w:left="1841" w:right="0" w:hanging="666"/>
        <w:jc w:val="left"/>
        <w:rPr>
          <w:sz w:val="24"/>
        </w:rPr>
      </w:pPr>
      <w:r>
        <w:rPr>
          <w:sz w:val="24"/>
        </w:rPr>
        <w:t>在投标有效期内投标人撤销投标文件的，应承担招标文件和法律规定的责</w:t>
      </w:r>
    </w:p>
    <w:p>
      <w:pPr>
        <w:pStyle w:val="5"/>
        <w:spacing w:before="161"/>
        <w:ind w:left="694"/>
      </w:pPr>
      <w:r>
        <w:t>任。</w:t>
      </w:r>
    </w:p>
    <w:p>
      <w:pPr>
        <w:pStyle w:val="10"/>
        <w:numPr>
          <w:ilvl w:val="2"/>
          <w:numId w:val="6"/>
        </w:numPr>
        <w:tabs>
          <w:tab w:val="left" w:pos="1900"/>
        </w:tabs>
        <w:spacing w:before="158" w:after="0" w:line="240" w:lineRule="auto"/>
        <w:ind w:left="1899" w:right="0" w:hanging="724"/>
        <w:jc w:val="left"/>
        <w:rPr>
          <w:sz w:val="24"/>
        </w:rPr>
      </w:pPr>
      <w:r>
        <w:rPr>
          <w:sz w:val="24"/>
        </w:rPr>
        <w:t>出现特殊情况需要延长投标有效期的，招标人以书面形式通知所有投标人</w:t>
      </w:r>
    </w:p>
    <w:p>
      <w:pPr>
        <w:pStyle w:val="5"/>
        <w:spacing w:before="158" w:line="364" w:lineRule="auto"/>
        <w:ind w:left="694" w:right="740"/>
        <w:jc w:val="both"/>
      </w:pPr>
      <w:r>
        <w:t>延长投标有效期。投标人应予以书面答复，同意延长的，应相应延长其投标保证金的有效期，但不得要求或被允许修改其投标文件；投标人拒绝延长的，其投标失效，但投标人有权收回其投标保证金及以现金或支票形式递交的投标保证金。</w:t>
      </w:r>
    </w:p>
    <w:p>
      <w:pPr>
        <w:pStyle w:val="4"/>
        <w:numPr>
          <w:ilvl w:val="1"/>
          <w:numId w:val="6"/>
        </w:numPr>
        <w:tabs>
          <w:tab w:val="left" w:pos="1024"/>
        </w:tabs>
        <w:spacing w:before="0" w:after="0" w:line="307" w:lineRule="exact"/>
        <w:ind w:left="1023" w:right="0" w:hanging="484"/>
        <w:jc w:val="both"/>
      </w:pPr>
      <w:bookmarkStart w:id="52" w:name="3.4 投标保证金"/>
      <w:bookmarkEnd w:id="52"/>
      <w:bookmarkStart w:id="53" w:name="3.4 投标保证金"/>
      <w:bookmarkEnd w:id="53"/>
      <w:r>
        <w:t>投标保证金</w:t>
      </w:r>
    </w:p>
    <w:p>
      <w:pPr>
        <w:pStyle w:val="10"/>
        <w:numPr>
          <w:ilvl w:val="2"/>
          <w:numId w:val="6"/>
        </w:numPr>
        <w:tabs>
          <w:tab w:val="left" w:pos="1900"/>
        </w:tabs>
        <w:spacing w:before="161" w:after="0" w:line="364" w:lineRule="auto"/>
        <w:ind w:left="694" w:right="740" w:firstLine="482"/>
        <w:jc w:val="both"/>
        <w:rPr>
          <w:sz w:val="24"/>
        </w:rPr>
      </w:pPr>
      <w:r>
        <w:rPr>
          <w:sz w:val="24"/>
        </w:rPr>
        <w:t>投标人在递交投标文件的同时，应按投标人须知前附表规定的金额和第九章“投标文件格式”规定的投标保证金格式递交投标保证金，并作为其投标文件的组成部分。联合体投标的，其投标保证金由牵头人递交，并应符合投标人须知前附表的规定。</w:t>
      </w:r>
    </w:p>
    <w:p>
      <w:pPr>
        <w:pStyle w:val="10"/>
        <w:numPr>
          <w:ilvl w:val="2"/>
          <w:numId w:val="6"/>
        </w:numPr>
        <w:tabs>
          <w:tab w:val="left" w:pos="1837"/>
        </w:tabs>
        <w:spacing w:before="0" w:after="0" w:line="305" w:lineRule="exact"/>
        <w:ind w:left="1836" w:right="0" w:hanging="661"/>
        <w:jc w:val="both"/>
        <w:rPr>
          <w:sz w:val="24"/>
        </w:rPr>
      </w:pPr>
      <w:r>
        <w:rPr>
          <w:spacing w:val="-7"/>
          <w:sz w:val="24"/>
        </w:rPr>
        <w:t xml:space="preserve">投标人不按本章第 </w:t>
      </w:r>
      <w:r>
        <w:rPr>
          <w:sz w:val="24"/>
        </w:rPr>
        <w:t>3.4.1</w:t>
      </w:r>
      <w:r>
        <w:rPr>
          <w:spacing w:val="-10"/>
          <w:sz w:val="24"/>
        </w:rPr>
        <w:t xml:space="preserve"> 项要求提交投标保证金的，评标委员会将否决其投</w:t>
      </w:r>
    </w:p>
    <w:p>
      <w:pPr>
        <w:pStyle w:val="5"/>
        <w:spacing w:before="158"/>
        <w:ind w:left="694"/>
      </w:pPr>
      <w:r>
        <w:t>标。</w:t>
      </w:r>
    </w:p>
    <w:p>
      <w:pPr>
        <w:pStyle w:val="10"/>
        <w:numPr>
          <w:ilvl w:val="2"/>
          <w:numId w:val="6"/>
        </w:numPr>
        <w:tabs>
          <w:tab w:val="left" w:pos="1900"/>
        </w:tabs>
        <w:spacing w:before="160" w:after="0" w:line="240" w:lineRule="auto"/>
        <w:ind w:left="1899" w:right="0" w:hanging="724"/>
        <w:jc w:val="left"/>
        <w:rPr>
          <w:sz w:val="24"/>
        </w:rPr>
      </w:pPr>
      <w:r>
        <w:rPr>
          <w:spacing w:val="-4"/>
          <w:sz w:val="24"/>
        </w:rPr>
        <w:t xml:space="preserve">招标人最迟将在中标通知书发出后 </w:t>
      </w:r>
      <w:r>
        <w:rPr>
          <w:sz w:val="24"/>
        </w:rPr>
        <w:t>5</w:t>
      </w:r>
      <w:r>
        <w:rPr>
          <w:spacing w:val="-8"/>
          <w:sz w:val="24"/>
        </w:rPr>
        <w:t xml:space="preserve"> 日内向中标候选人以外的其他投标人</w:t>
      </w:r>
    </w:p>
    <w:p>
      <w:pPr>
        <w:pStyle w:val="5"/>
        <w:spacing w:before="158" w:line="364" w:lineRule="auto"/>
        <w:ind w:left="694" w:right="669"/>
      </w:pPr>
      <w:r>
        <w:t>退还投标保证金，与中标人签订合同后 5 日内向中标人和其他中标候选人退还投标保证金。</w:t>
      </w:r>
    </w:p>
    <w:p>
      <w:pPr>
        <w:pStyle w:val="10"/>
        <w:numPr>
          <w:ilvl w:val="2"/>
          <w:numId w:val="6"/>
        </w:numPr>
        <w:tabs>
          <w:tab w:val="left" w:pos="2016"/>
          <w:tab w:val="left" w:pos="2017"/>
        </w:tabs>
        <w:spacing w:before="2" w:after="0" w:line="240" w:lineRule="auto"/>
        <w:ind w:left="2016" w:right="0" w:hanging="841"/>
        <w:jc w:val="left"/>
        <w:rPr>
          <w:sz w:val="24"/>
        </w:rPr>
      </w:pPr>
      <w:r>
        <w:rPr>
          <w:sz w:val="24"/>
        </w:rPr>
        <w:t>有下列情形之一的，投标保证金将不予退还：</w:t>
      </w:r>
    </w:p>
    <w:p>
      <w:pPr>
        <w:pStyle w:val="5"/>
        <w:spacing w:before="158"/>
        <w:ind w:left="1176"/>
      </w:pPr>
      <w:r>
        <w:t>（1）投标人在投标有效期内撤销投标文件 ：</w:t>
      </w:r>
    </w:p>
    <w:p>
      <w:pPr>
        <w:pStyle w:val="5"/>
        <w:spacing w:before="158" w:line="364" w:lineRule="auto"/>
        <w:ind w:left="694" w:right="740" w:firstLine="482"/>
      </w:pPr>
      <w:r>
        <w:t>(2）中标人在收到中标通知书后，无正当理由不与招标人订立合同，在签订合同时向招标人提出附加条件；</w:t>
      </w:r>
    </w:p>
    <w:p>
      <w:pPr>
        <w:pStyle w:val="5"/>
        <w:spacing w:line="306" w:lineRule="exact"/>
        <w:ind w:left="1176"/>
      </w:pPr>
      <w:r>
        <w:t>（3）发生投标人须知前附表规定的其他可以不予退还投标保证金的情形。</w:t>
      </w:r>
    </w:p>
    <w:p>
      <w:pPr>
        <w:pStyle w:val="10"/>
        <w:numPr>
          <w:ilvl w:val="1"/>
          <w:numId w:val="6"/>
        </w:numPr>
        <w:tabs>
          <w:tab w:val="left" w:pos="1657"/>
        </w:tabs>
        <w:spacing w:before="160" w:after="0" w:line="240" w:lineRule="auto"/>
        <w:ind w:left="1656" w:right="0" w:hanging="481"/>
        <w:jc w:val="left"/>
        <w:rPr>
          <w:sz w:val="24"/>
        </w:rPr>
      </w:pPr>
      <w:r>
        <w:rPr>
          <w:sz w:val="24"/>
        </w:rPr>
        <w:t>资格审查资料</w:t>
      </w:r>
    </w:p>
    <w:p>
      <w:pPr>
        <w:pStyle w:val="5"/>
        <w:spacing w:before="161"/>
        <w:ind w:left="1176"/>
      </w:pPr>
      <w:r>
        <w:t>除投标人须知前附表另有规定外，投标人应按下列规定提供资格审查资料，以证</w:t>
      </w:r>
    </w:p>
    <w:p>
      <w:pPr>
        <w:spacing w:after="0"/>
        <w:sectPr>
          <w:pgSz w:w="11910" w:h="16840"/>
          <w:pgMar w:top="1380" w:right="720" w:bottom="1080" w:left="820" w:header="746" w:footer="891" w:gutter="0"/>
          <w:cols w:space="720" w:num="1"/>
        </w:sectPr>
      </w:pPr>
    </w:p>
    <w:p>
      <w:pPr>
        <w:pStyle w:val="5"/>
        <w:spacing w:before="61" w:line="364" w:lineRule="auto"/>
        <w:ind w:left="1176" w:right="742" w:hanging="483"/>
        <w:jc w:val="both"/>
      </w:pPr>
      <w:r>
        <w:t>明其满足本章投标人须知第 1.4 款规定的资质 、财务、业绩 、信誉等要求。3.5.1“投标人基本情况表” 应附企业法人营业执照副本和组织机构代码证副本</w:t>
      </w:r>
    </w:p>
    <w:p>
      <w:pPr>
        <w:pStyle w:val="5"/>
        <w:spacing w:line="364" w:lineRule="auto"/>
        <w:ind w:left="694" w:right="740"/>
        <w:jc w:val="both"/>
      </w:pPr>
      <w:r>
        <w:t>（按照“三证合一”或“五证合一”登记制度进行登记的，可仅提供营业执照副本， 下同</w:t>
      </w:r>
      <w:r>
        <w:rPr>
          <w:spacing w:val="-20"/>
        </w:rPr>
        <w:t>）</w:t>
      </w:r>
      <w:r>
        <w:rPr>
          <w:spacing w:val="-8"/>
        </w:rPr>
        <w:t>、施工资质证书副本 、安全生产许可证副本、基本账户开户许可证的彩色扫描</w:t>
      </w:r>
      <w:r>
        <w:t>件。企业法人营业执照副本和组织机构代码证副本、施工资质证书副本、安全生产许可证副本、基本账户开户许可证的彩色扫描件应提供全本（证书封面、封底、空白页除外），应包括投标人名称、投标人其他相关信息、颁发机构名称、投标人信息变更情况等关键页在内，并逐页加盖投标人单位章。</w:t>
      </w:r>
    </w:p>
    <w:p>
      <w:pPr>
        <w:pStyle w:val="10"/>
        <w:numPr>
          <w:ilvl w:val="2"/>
          <w:numId w:val="14"/>
        </w:numPr>
        <w:tabs>
          <w:tab w:val="left" w:pos="1900"/>
        </w:tabs>
        <w:spacing w:before="0" w:after="0" w:line="306" w:lineRule="exact"/>
        <w:ind w:left="1899" w:right="0" w:hanging="724"/>
        <w:jc w:val="both"/>
        <w:rPr>
          <w:sz w:val="24"/>
        </w:rPr>
      </w:pPr>
      <w:r>
        <w:rPr>
          <w:sz w:val="24"/>
        </w:rPr>
        <w:t>“近年财务状况表”应附经会计师事务所或审计机构审计的财务会计报表</w:t>
      </w:r>
    </w:p>
    <w:p>
      <w:pPr>
        <w:pStyle w:val="5"/>
        <w:spacing w:before="156" w:line="364" w:lineRule="auto"/>
        <w:ind w:left="694" w:right="740"/>
        <w:jc w:val="both"/>
      </w:pPr>
      <w:r>
        <w:t>，包括资产负债表、现金流量表、利润表和财务情况说明书的复印件，具体年份要求见投标人须知前附表。投标人的成立时间少于投标人须知前附表规定年份的，应提供成立以来的财务状况表。</w:t>
      </w:r>
    </w:p>
    <w:p>
      <w:pPr>
        <w:pStyle w:val="10"/>
        <w:numPr>
          <w:ilvl w:val="2"/>
          <w:numId w:val="14"/>
        </w:numPr>
        <w:tabs>
          <w:tab w:val="left" w:pos="1880"/>
        </w:tabs>
        <w:spacing w:before="0" w:after="0" w:line="362" w:lineRule="auto"/>
        <w:ind w:left="694" w:right="740" w:firstLine="482"/>
        <w:jc w:val="both"/>
        <w:rPr>
          <w:sz w:val="24"/>
        </w:rPr>
      </w:pPr>
      <w:r>
        <w:rPr>
          <w:spacing w:val="-5"/>
          <w:sz w:val="24"/>
        </w:rPr>
        <w:t>“近年完成的类似项目” 应是承接过的类似业绩；“近年完成的类似项目</w:t>
      </w:r>
      <w:r>
        <w:rPr>
          <w:sz w:val="24"/>
        </w:rPr>
        <w:t>情况表” 应附具体时间及要求见投标人须知前附表。</w:t>
      </w:r>
    </w:p>
    <w:p>
      <w:pPr>
        <w:pStyle w:val="10"/>
        <w:numPr>
          <w:ilvl w:val="2"/>
          <w:numId w:val="14"/>
        </w:numPr>
        <w:tabs>
          <w:tab w:val="left" w:pos="1778"/>
        </w:tabs>
        <w:spacing w:before="5" w:after="0" w:line="240" w:lineRule="auto"/>
        <w:ind w:left="1777" w:right="0" w:hanging="602"/>
        <w:jc w:val="left"/>
        <w:rPr>
          <w:sz w:val="24"/>
        </w:rPr>
      </w:pPr>
      <w:r>
        <w:rPr>
          <w:sz w:val="24"/>
        </w:rPr>
        <w:t>“投标人的信誉情况”详见投标人须知前附表。</w:t>
      </w:r>
    </w:p>
    <w:p>
      <w:pPr>
        <w:pStyle w:val="10"/>
        <w:numPr>
          <w:ilvl w:val="2"/>
          <w:numId w:val="14"/>
        </w:numPr>
        <w:tabs>
          <w:tab w:val="left" w:pos="1900"/>
        </w:tabs>
        <w:spacing w:before="158" w:after="0" w:line="364" w:lineRule="auto"/>
        <w:ind w:left="694" w:right="742" w:firstLine="482"/>
        <w:jc w:val="left"/>
        <w:rPr>
          <w:sz w:val="24"/>
        </w:rPr>
      </w:pPr>
      <w:r>
        <w:rPr>
          <w:sz w:val="24"/>
        </w:rPr>
        <w:t>“拟委任的项目经理（项目经理备选人）和项目总工（项目总工备选人） 资历表”详见投标人须知前附表</w:t>
      </w:r>
    </w:p>
    <w:p>
      <w:pPr>
        <w:pStyle w:val="10"/>
        <w:numPr>
          <w:ilvl w:val="2"/>
          <w:numId w:val="14"/>
        </w:numPr>
        <w:tabs>
          <w:tab w:val="left" w:pos="1900"/>
        </w:tabs>
        <w:spacing w:before="0" w:after="0" w:line="364" w:lineRule="auto"/>
        <w:ind w:left="694" w:right="740" w:firstLine="482"/>
        <w:jc w:val="left"/>
        <w:rPr>
          <w:sz w:val="24"/>
        </w:rPr>
      </w:pPr>
      <w:r>
        <w:rPr>
          <w:sz w:val="24"/>
        </w:rPr>
        <w:t>“拟委任的其他管理和技术人员汇总表”（如有）应填报满足本章前附表</w:t>
      </w:r>
      <w:r>
        <w:rPr>
          <w:spacing w:val="-15"/>
          <w:sz w:val="24"/>
        </w:rPr>
        <w:t xml:space="preserve">附录 </w:t>
      </w:r>
      <w:r>
        <w:rPr>
          <w:sz w:val="24"/>
        </w:rPr>
        <w:t>6</w:t>
      </w:r>
      <w:r>
        <w:rPr>
          <w:spacing w:val="-7"/>
          <w:sz w:val="24"/>
        </w:rPr>
        <w:t xml:space="preserve"> 规定的其他人员的相关信息。“拟委任的其他管理和技术人员资历表”</w:t>
      </w:r>
      <w:r>
        <w:rPr>
          <w:sz w:val="24"/>
        </w:rPr>
        <w:t>（如有</w:t>
      </w:r>
    </w:p>
    <w:p>
      <w:pPr>
        <w:pStyle w:val="5"/>
        <w:spacing w:line="364" w:lineRule="auto"/>
        <w:ind w:left="694" w:right="740"/>
        <w:jc w:val="both"/>
      </w:pPr>
      <w:r>
        <w:t>）中相关人员应附身份证、职称资格证书以及资格审查条件所要求的其他相关证书， 相关业绩证明材料，以及投标人所属社保机构出具的社保缴费证明或其他能够证明其参加社保的有效证明材料。</w:t>
      </w:r>
    </w:p>
    <w:p>
      <w:pPr>
        <w:pStyle w:val="10"/>
        <w:numPr>
          <w:ilvl w:val="2"/>
          <w:numId w:val="14"/>
        </w:numPr>
        <w:tabs>
          <w:tab w:val="left" w:pos="1900"/>
        </w:tabs>
        <w:spacing w:before="0" w:after="0" w:line="364" w:lineRule="auto"/>
        <w:ind w:left="694" w:right="740" w:firstLine="482"/>
        <w:jc w:val="both"/>
        <w:rPr>
          <w:sz w:val="24"/>
        </w:rPr>
      </w:pPr>
      <w:r>
        <w:rPr>
          <w:sz w:val="24"/>
        </w:rPr>
        <w:t>“拟投入本标段的主要施工机械表”、“拟配备本标段的主要材料试验、</w:t>
      </w:r>
      <w:r>
        <w:rPr>
          <w:spacing w:val="-2"/>
          <w:sz w:val="24"/>
        </w:rPr>
        <w:t>测量、质检仪器设备表”</w:t>
      </w:r>
      <w:r>
        <w:rPr>
          <w:spacing w:val="-4"/>
          <w:sz w:val="24"/>
        </w:rPr>
        <w:t>（</w:t>
      </w:r>
      <w:r>
        <w:rPr>
          <w:sz w:val="24"/>
        </w:rPr>
        <w:t>如有）应填报满足本章前附表附录 7</w:t>
      </w:r>
      <w:r>
        <w:rPr>
          <w:spacing w:val="-9"/>
          <w:sz w:val="24"/>
        </w:rPr>
        <w:t xml:space="preserve"> 规定的机械设备和试</w:t>
      </w:r>
      <w:r>
        <w:rPr>
          <w:sz w:val="24"/>
        </w:rPr>
        <w:t>验检测设备。</w:t>
      </w:r>
    </w:p>
    <w:p>
      <w:pPr>
        <w:pStyle w:val="10"/>
        <w:numPr>
          <w:ilvl w:val="2"/>
          <w:numId w:val="14"/>
        </w:numPr>
        <w:tabs>
          <w:tab w:val="left" w:pos="1900"/>
        </w:tabs>
        <w:spacing w:before="0" w:after="0" w:line="364" w:lineRule="auto"/>
        <w:ind w:left="694" w:right="740" w:firstLine="482"/>
        <w:jc w:val="both"/>
        <w:rPr>
          <w:sz w:val="24"/>
        </w:rPr>
      </w:pPr>
      <w:r>
        <w:rPr>
          <w:spacing w:val="-3"/>
          <w:sz w:val="24"/>
        </w:rPr>
        <w:t xml:space="preserve">投标人须知前附表规定接受联合体投标的，本章第 </w:t>
      </w:r>
      <w:r>
        <w:rPr>
          <w:sz w:val="24"/>
        </w:rPr>
        <w:t>3.5.1</w:t>
      </w:r>
      <w:r>
        <w:rPr>
          <w:spacing w:val="-22"/>
          <w:sz w:val="24"/>
        </w:rPr>
        <w:t xml:space="preserve"> 项至第 </w:t>
      </w:r>
      <w:r>
        <w:rPr>
          <w:sz w:val="24"/>
        </w:rPr>
        <w:t>3.5.7</w:t>
      </w:r>
      <w:r>
        <w:rPr>
          <w:spacing w:val="-26"/>
          <w:sz w:val="24"/>
        </w:rPr>
        <w:t xml:space="preserve"> 项规定的表格和资料应包括联合体各方相关情况。</w:t>
      </w:r>
    </w:p>
    <w:p>
      <w:pPr>
        <w:pStyle w:val="10"/>
        <w:numPr>
          <w:ilvl w:val="2"/>
          <w:numId w:val="14"/>
        </w:numPr>
        <w:tabs>
          <w:tab w:val="left" w:pos="1900"/>
        </w:tabs>
        <w:spacing w:before="0" w:after="0" w:line="364" w:lineRule="auto"/>
        <w:ind w:left="694" w:right="740" w:firstLine="482"/>
        <w:jc w:val="both"/>
        <w:rPr>
          <w:sz w:val="24"/>
        </w:rPr>
      </w:pPr>
      <w:r>
        <w:rPr>
          <w:sz w:val="24"/>
        </w:rPr>
        <w:t>除合同条款约定的特殊情形外，投标人在投标文件中填报的项目经理和项目总工不允许更换。</w:t>
      </w:r>
    </w:p>
    <w:p>
      <w:pPr>
        <w:pStyle w:val="10"/>
        <w:numPr>
          <w:ilvl w:val="2"/>
          <w:numId w:val="14"/>
        </w:numPr>
        <w:tabs>
          <w:tab w:val="left" w:pos="2017"/>
        </w:tabs>
        <w:spacing w:before="0" w:after="0" w:line="240" w:lineRule="auto"/>
        <w:ind w:left="2016" w:right="0" w:hanging="841"/>
        <w:jc w:val="both"/>
        <w:rPr>
          <w:sz w:val="24"/>
        </w:rPr>
      </w:pPr>
      <w:r>
        <w:rPr>
          <w:spacing w:val="-4"/>
          <w:sz w:val="24"/>
        </w:rPr>
        <w:t>招标人有权核查投标人在投标文件中提供的资料，若在评标期间发现投标</w:t>
      </w:r>
    </w:p>
    <w:p>
      <w:pPr>
        <w:spacing w:after="0" w:line="240" w:lineRule="auto"/>
        <w:jc w:val="both"/>
        <w:rPr>
          <w:sz w:val="24"/>
        </w:rPr>
        <w:sectPr>
          <w:pgSz w:w="11910" w:h="16840"/>
          <w:pgMar w:top="1380" w:right="720" w:bottom="1080" w:left="820" w:header="746" w:footer="891" w:gutter="0"/>
          <w:cols w:space="720" w:num="1"/>
        </w:sectPr>
      </w:pPr>
    </w:p>
    <w:p>
      <w:pPr>
        <w:pStyle w:val="5"/>
        <w:spacing w:before="61" w:line="364" w:lineRule="auto"/>
        <w:ind w:left="694" w:right="740"/>
        <w:jc w:val="both"/>
      </w:pPr>
      <w:r>
        <w:t>人提供了虚假资料，其投标将被否决；若在签订合同前发现作为中标候选人的投标人提供了虚假资料，招标人有权取消其中标资格：若在合同实施期间发现投标人提供了</w:t>
      </w:r>
      <w:r>
        <w:rPr>
          <w:spacing w:val="-4"/>
        </w:rPr>
        <w:t xml:space="preserve">虚假资料，招标人有权从工程支付款中扣除不超过 </w:t>
      </w:r>
      <w:r>
        <w:t>5%</w:t>
      </w:r>
      <w:r>
        <w:rPr>
          <w:spacing w:val="-3"/>
        </w:rPr>
        <w:t>签约合同价的金额</w:t>
      </w:r>
      <w:r>
        <w:t>作为违约金。同时招标人将投标人上述弄虚作假行为上报省级交通运输主管部门，作为不良记录纳入公路建设市场信用信息管理系统。</w:t>
      </w:r>
    </w:p>
    <w:p>
      <w:pPr>
        <w:pStyle w:val="4"/>
        <w:numPr>
          <w:ilvl w:val="1"/>
          <w:numId w:val="6"/>
        </w:numPr>
        <w:tabs>
          <w:tab w:val="left" w:pos="1024"/>
        </w:tabs>
        <w:spacing w:before="0" w:after="0" w:line="306" w:lineRule="exact"/>
        <w:ind w:left="1023" w:right="0" w:hanging="484"/>
        <w:jc w:val="both"/>
      </w:pPr>
      <w:bookmarkStart w:id="54" w:name="3.6 备选投标方案"/>
      <w:bookmarkEnd w:id="54"/>
      <w:bookmarkStart w:id="55" w:name="3.6 备选投标方案"/>
      <w:bookmarkEnd w:id="55"/>
      <w:r>
        <w:t>备选投标方案</w:t>
      </w:r>
    </w:p>
    <w:p>
      <w:pPr>
        <w:pStyle w:val="10"/>
        <w:numPr>
          <w:ilvl w:val="2"/>
          <w:numId w:val="6"/>
        </w:numPr>
        <w:tabs>
          <w:tab w:val="left" w:pos="1900"/>
        </w:tabs>
        <w:spacing w:before="158" w:after="0" w:line="364" w:lineRule="auto"/>
        <w:ind w:left="694" w:right="740" w:firstLine="482"/>
        <w:jc w:val="both"/>
        <w:rPr>
          <w:sz w:val="24"/>
        </w:rPr>
      </w:pPr>
      <w:r>
        <w:rPr>
          <w:sz w:val="24"/>
        </w:rPr>
        <w:t>除投标人须知前附表规定允许外，投标人不得递交备选投标方案，否则其投标将被否决</w:t>
      </w:r>
    </w:p>
    <w:p>
      <w:pPr>
        <w:pStyle w:val="10"/>
        <w:numPr>
          <w:ilvl w:val="2"/>
          <w:numId w:val="6"/>
        </w:numPr>
        <w:tabs>
          <w:tab w:val="left" w:pos="1900"/>
        </w:tabs>
        <w:spacing w:before="1" w:after="0" w:line="362" w:lineRule="auto"/>
        <w:ind w:left="694" w:right="740" w:firstLine="482"/>
        <w:jc w:val="both"/>
        <w:rPr>
          <w:sz w:val="24"/>
        </w:rPr>
      </w:pPr>
      <w:r>
        <w:rPr>
          <w:sz w:val="24"/>
        </w:rPr>
        <w:t>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10"/>
        <w:numPr>
          <w:ilvl w:val="2"/>
          <w:numId w:val="6"/>
        </w:numPr>
        <w:tabs>
          <w:tab w:val="left" w:pos="1900"/>
        </w:tabs>
        <w:spacing w:before="6" w:after="0" w:line="364" w:lineRule="auto"/>
        <w:ind w:left="694" w:right="740" w:firstLine="482"/>
        <w:jc w:val="both"/>
        <w:rPr>
          <w:sz w:val="24"/>
        </w:rPr>
      </w:pPr>
      <w:r>
        <w:rPr>
          <w:sz w:val="24"/>
        </w:rPr>
        <w:t>投标人提供两个或两个以上投标报价，或在投标文件中提供一个报价，但同时提供两个或两个以上施工组织设计的，视为提供备选方案。</w:t>
      </w:r>
    </w:p>
    <w:p>
      <w:pPr>
        <w:pStyle w:val="4"/>
        <w:numPr>
          <w:ilvl w:val="1"/>
          <w:numId w:val="6"/>
        </w:numPr>
        <w:tabs>
          <w:tab w:val="left" w:pos="1024"/>
        </w:tabs>
        <w:spacing w:before="0" w:after="0" w:line="306" w:lineRule="exact"/>
        <w:ind w:left="1023" w:right="0" w:hanging="484"/>
        <w:jc w:val="both"/>
      </w:pPr>
      <w:bookmarkStart w:id="56" w:name="3.7 投标文件的编制"/>
      <w:bookmarkEnd w:id="56"/>
      <w:bookmarkStart w:id="57" w:name="3.7 投标文件的编制"/>
      <w:bookmarkEnd w:id="57"/>
      <w:r>
        <w:t>投标文件的编制</w:t>
      </w:r>
    </w:p>
    <w:p>
      <w:pPr>
        <w:pStyle w:val="10"/>
        <w:numPr>
          <w:ilvl w:val="2"/>
          <w:numId w:val="6"/>
        </w:numPr>
        <w:tabs>
          <w:tab w:val="left" w:pos="1842"/>
        </w:tabs>
        <w:spacing w:before="161" w:after="0" w:line="364" w:lineRule="auto"/>
        <w:ind w:left="694" w:right="740" w:firstLine="482"/>
        <w:jc w:val="both"/>
        <w:rPr>
          <w:sz w:val="24"/>
        </w:rPr>
      </w:pPr>
      <w:r>
        <w:rPr>
          <w:sz w:val="24"/>
        </w:rPr>
        <w:t>投标文件应按第九章“投标文件格式”进行编写，如有必要，可以增加附页，作为投标文件的组成部分。投标文件格式中的备注没有需填“无”。其中，投标函附录在满足招标文件实质性要求的基础上，可以提出比招标文件要求更有利于招标人的承诺。</w:t>
      </w:r>
    </w:p>
    <w:p>
      <w:pPr>
        <w:pStyle w:val="10"/>
        <w:numPr>
          <w:ilvl w:val="2"/>
          <w:numId w:val="6"/>
        </w:numPr>
        <w:tabs>
          <w:tab w:val="left" w:pos="1842"/>
        </w:tabs>
        <w:spacing w:before="0" w:after="0" w:line="362" w:lineRule="auto"/>
        <w:ind w:left="694" w:right="740" w:firstLine="482"/>
        <w:jc w:val="both"/>
        <w:rPr>
          <w:sz w:val="24"/>
        </w:rPr>
      </w:pPr>
      <w:r>
        <w:rPr>
          <w:sz w:val="24"/>
        </w:rPr>
        <w:t>投标文件应对招标文件有关工期、投标有效期、质量要求、安全目标、技术标准和要求、招标范围等实质性内容作出响应。</w:t>
      </w:r>
    </w:p>
    <w:p>
      <w:pPr>
        <w:pStyle w:val="10"/>
        <w:numPr>
          <w:ilvl w:val="2"/>
          <w:numId w:val="6"/>
        </w:numPr>
        <w:tabs>
          <w:tab w:val="left" w:pos="1842"/>
        </w:tabs>
        <w:spacing w:before="2" w:after="0" w:line="362" w:lineRule="auto"/>
        <w:ind w:left="694" w:right="740" w:firstLine="482"/>
        <w:jc w:val="both"/>
        <w:rPr>
          <w:sz w:val="24"/>
        </w:rPr>
      </w:pPr>
      <w:r>
        <w:rPr>
          <w:sz w:val="24"/>
        </w:rPr>
        <w:t>投标文件签字盖章须按照招标文件提供的投标文件格式中注明的位置签字或盖章。</w:t>
      </w:r>
    </w:p>
    <w:p>
      <w:pPr>
        <w:pStyle w:val="4"/>
        <w:numPr>
          <w:ilvl w:val="0"/>
          <w:numId w:val="6"/>
        </w:numPr>
        <w:tabs>
          <w:tab w:val="left" w:pos="904"/>
        </w:tabs>
        <w:spacing w:before="5" w:after="0" w:line="240" w:lineRule="auto"/>
        <w:ind w:left="903" w:right="0" w:hanging="364"/>
        <w:jc w:val="both"/>
      </w:pPr>
      <w:bookmarkStart w:id="58" w:name="4. 投标"/>
      <w:bookmarkEnd w:id="58"/>
      <w:bookmarkStart w:id="59" w:name="4. 投标"/>
      <w:bookmarkEnd w:id="59"/>
      <w:r>
        <w:t>投标</w:t>
      </w:r>
    </w:p>
    <w:p>
      <w:pPr>
        <w:pStyle w:val="4"/>
        <w:numPr>
          <w:ilvl w:val="1"/>
          <w:numId w:val="6"/>
        </w:numPr>
        <w:tabs>
          <w:tab w:val="left" w:pos="1024"/>
        </w:tabs>
        <w:spacing w:before="150" w:after="0" w:line="240" w:lineRule="auto"/>
        <w:ind w:left="1023" w:right="0" w:hanging="484"/>
        <w:jc w:val="both"/>
      </w:pPr>
      <w:bookmarkStart w:id="60" w:name="4.1 投标文件的递交"/>
      <w:bookmarkEnd w:id="60"/>
      <w:bookmarkStart w:id="61" w:name="4.1 投标文件的递交"/>
      <w:bookmarkEnd w:id="61"/>
      <w:r>
        <w:rPr>
          <w:rFonts w:hint="eastAsia" w:ascii="等线" w:eastAsia="等线"/>
        </w:rPr>
        <w:t>投标文件的递交</w:t>
      </w:r>
    </w:p>
    <w:p>
      <w:pPr>
        <w:pStyle w:val="4"/>
        <w:numPr>
          <w:ilvl w:val="2"/>
          <w:numId w:val="15"/>
        </w:numPr>
        <w:tabs>
          <w:tab w:val="left" w:pos="1904"/>
        </w:tabs>
        <w:spacing w:before="146" w:after="0" w:line="362" w:lineRule="auto"/>
        <w:ind w:left="694" w:right="740" w:firstLine="482"/>
        <w:jc w:val="both"/>
      </w:pPr>
      <w:r>
        <w:t>投标人上传的电子投标文件应使用投标人数字证书认证并加密。未按要求加密的电子投标文件，招标人不予受理。</w:t>
      </w:r>
    </w:p>
    <w:p>
      <w:pPr>
        <w:pStyle w:val="4"/>
        <w:numPr>
          <w:ilvl w:val="2"/>
          <w:numId w:val="15"/>
        </w:numPr>
        <w:tabs>
          <w:tab w:val="left" w:pos="1844"/>
        </w:tabs>
        <w:spacing w:before="5" w:after="0" w:line="364" w:lineRule="auto"/>
        <w:ind w:left="694" w:right="742" w:firstLine="482"/>
        <w:jc w:val="both"/>
      </w:pPr>
      <w:r>
        <w:t>投标人必须在投标截止时间前通过商城县公共资源交易中心电子招投标系</w:t>
      </w:r>
      <w:r>
        <w:rPr>
          <w:spacing w:val="-2"/>
        </w:rPr>
        <w:t xml:space="preserve">统上传电子投标文件(.已加密投标文件格式)。上传的投标文件应使用投标人 </w:t>
      </w:r>
      <w:r>
        <w:t>CA</w:t>
      </w:r>
      <w:r>
        <w:rPr>
          <w:spacing w:val="-20"/>
        </w:rPr>
        <w:t xml:space="preserve"> 数字证书认证并加密。</w:t>
      </w:r>
    </w:p>
    <w:p>
      <w:pPr>
        <w:pStyle w:val="4"/>
        <w:numPr>
          <w:ilvl w:val="2"/>
          <w:numId w:val="15"/>
        </w:numPr>
        <w:tabs>
          <w:tab w:val="left" w:pos="1844"/>
        </w:tabs>
        <w:spacing w:before="0" w:after="0" w:line="307" w:lineRule="exact"/>
        <w:ind w:left="1844" w:right="0" w:hanging="668"/>
        <w:jc w:val="both"/>
      </w:pPr>
      <w:r>
        <w:t>本项目评标以电子投标文件为依据，未在投标截止时间前上传电子投标文</w:t>
      </w:r>
    </w:p>
    <w:p>
      <w:pPr>
        <w:spacing w:after="0" w:line="307" w:lineRule="exact"/>
        <w:jc w:val="both"/>
        <w:sectPr>
          <w:pgSz w:w="11910" w:h="16840"/>
          <w:pgMar w:top="1380" w:right="720" w:bottom="1080" w:left="820" w:header="746" w:footer="891" w:gutter="0"/>
          <w:cols w:space="720" w:num="1"/>
        </w:sectPr>
      </w:pPr>
    </w:p>
    <w:p>
      <w:pPr>
        <w:pStyle w:val="4"/>
        <w:spacing w:before="61"/>
        <w:ind w:left="694"/>
      </w:pPr>
      <w:r>
        <w:t>件的投标人，视为自动放弃其投标。</w:t>
      </w:r>
    </w:p>
    <w:p>
      <w:pPr>
        <w:pStyle w:val="4"/>
        <w:numPr>
          <w:ilvl w:val="1"/>
          <w:numId w:val="16"/>
        </w:numPr>
        <w:tabs>
          <w:tab w:val="left" w:pos="1024"/>
        </w:tabs>
        <w:spacing w:before="160" w:after="0" w:line="240" w:lineRule="auto"/>
        <w:ind w:left="1023" w:right="0" w:hanging="484"/>
        <w:jc w:val="left"/>
      </w:pPr>
      <w:r>
        <w:t>投标文件的修改与撤回</w:t>
      </w:r>
    </w:p>
    <w:p>
      <w:pPr>
        <w:pStyle w:val="4"/>
        <w:numPr>
          <w:ilvl w:val="2"/>
          <w:numId w:val="16"/>
        </w:numPr>
        <w:tabs>
          <w:tab w:val="left" w:pos="1904"/>
        </w:tabs>
        <w:spacing w:before="158" w:after="0" w:line="364" w:lineRule="auto"/>
        <w:ind w:left="694" w:right="742" w:firstLine="482"/>
        <w:jc w:val="left"/>
      </w:pPr>
      <w:r>
        <w:rPr>
          <w:spacing w:val="-14"/>
        </w:rPr>
        <w:t xml:space="preserve">在附表第 </w:t>
      </w:r>
      <w:r>
        <w:t>2.2.2</w:t>
      </w:r>
      <w:r>
        <w:rPr>
          <w:spacing w:val="-6"/>
        </w:rPr>
        <w:t xml:space="preserve"> 项规定的投标截止时间前，投标人可以补充、修改、替代或者撤回已提交的投标文件，但应以书面形式通知招标人。</w:t>
      </w:r>
    </w:p>
    <w:p>
      <w:pPr>
        <w:pStyle w:val="4"/>
        <w:numPr>
          <w:ilvl w:val="2"/>
          <w:numId w:val="16"/>
        </w:numPr>
        <w:tabs>
          <w:tab w:val="left" w:pos="1904"/>
        </w:tabs>
        <w:spacing w:before="0" w:after="0" w:line="364" w:lineRule="auto"/>
        <w:ind w:left="694" w:right="742" w:firstLine="482"/>
        <w:jc w:val="left"/>
      </w:pPr>
      <w:r>
        <w:rPr>
          <w:spacing w:val="-3"/>
        </w:rPr>
        <w:t xml:space="preserve">投标人修改或撤回已递交投标文件的书面通知应按照本章第 </w:t>
      </w:r>
      <w:r>
        <w:t>3.7.3</w:t>
      </w:r>
      <w:r>
        <w:rPr>
          <w:spacing w:val="-16"/>
        </w:rPr>
        <w:t xml:space="preserve"> 项的要求签字或盖章。</w:t>
      </w:r>
    </w:p>
    <w:p>
      <w:pPr>
        <w:pStyle w:val="4"/>
        <w:numPr>
          <w:ilvl w:val="2"/>
          <w:numId w:val="16"/>
        </w:numPr>
        <w:tabs>
          <w:tab w:val="left" w:pos="1904"/>
        </w:tabs>
        <w:spacing w:before="0" w:after="0" w:line="364" w:lineRule="auto"/>
        <w:ind w:left="694" w:right="694" w:firstLine="482"/>
        <w:jc w:val="left"/>
      </w:pPr>
      <w:r>
        <w:rPr>
          <w:spacing w:val="-3"/>
        </w:rPr>
        <w:t xml:space="preserve">修改的内容为投标文件的组成部分。修改的投标文件应按照本章第 </w:t>
      </w:r>
      <w:r>
        <w:t>3</w:t>
      </w:r>
      <w:r>
        <w:rPr>
          <w:spacing w:val="-6"/>
        </w:rPr>
        <w:t xml:space="preserve"> 条、</w:t>
      </w:r>
      <w:r>
        <w:rPr>
          <w:spacing w:val="-31"/>
        </w:rPr>
        <w:t xml:space="preserve">第 </w:t>
      </w:r>
      <w:r>
        <w:t>4 条规定进行编制、密封、标记和递交，并标明“修改”字样。</w:t>
      </w:r>
    </w:p>
    <w:p>
      <w:pPr>
        <w:pStyle w:val="4"/>
      </w:pPr>
      <w:bookmarkStart w:id="62" w:name="5、开标"/>
      <w:bookmarkEnd w:id="62"/>
      <w:r>
        <w:t>5、开标</w:t>
      </w:r>
    </w:p>
    <w:p>
      <w:pPr>
        <w:pStyle w:val="4"/>
        <w:numPr>
          <w:ilvl w:val="1"/>
          <w:numId w:val="17"/>
        </w:numPr>
        <w:tabs>
          <w:tab w:val="left" w:pos="1024"/>
        </w:tabs>
        <w:spacing w:before="157" w:after="0" w:line="240" w:lineRule="auto"/>
        <w:ind w:left="1023" w:right="0" w:hanging="484"/>
        <w:jc w:val="both"/>
      </w:pPr>
      <w:bookmarkStart w:id="63" w:name="5.1 开标时间及开标程序"/>
      <w:bookmarkEnd w:id="63"/>
      <w:bookmarkStart w:id="64" w:name="5.1 开标时间及开标程序"/>
      <w:bookmarkEnd w:id="64"/>
      <w:r>
        <w:t>开标时间及开标程序</w:t>
      </w:r>
    </w:p>
    <w:p>
      <w:pPr>
        <w:pStyle w:val="4"/>
        <w:spacing w:before="158" w:line="364" w:lineRule="auto"/>
        <w:ind w:right="639" w:firstLine="480"/>
        <w:jc w:val="both"/>
      </w:pPr>
      <w:r>
        <w:rPr>
          <w:spacing w:val="-11"/>
        </w:rPr>
        <w:t>本 工 程 采 用 远 程 不 见 面 开 标 模 式 ， 不 见 面 开 标 大 厅 网 址 为</w:t>
      </w:r>
      <w:r>
        <w:fldChar w:fldCharType="begin"/>
      </w:r>
      <w:r>
        <w:instrText xml:space="preserve"> HYPERLINK "http://gcjs.scxzfw.com/bidopen_login" \h </w:instrText>
      </w:r>
      <w:r>
        <w:fldChar w:fldCharType="separate"/>
      </w:r>
      <w:r>
        <w:rPr>
          <w:spacing w:val="-11"/>
        </w:rPr>
        <w:t>http://gcjs.scxzfw.com/bidopen_login</w:t>
      </w:r>
      <w:r>
        <w:rPr>
          <w:spacing w:val="-71"/>
        </w:rPr>
        <w:t xml:space="preserve"> </w:t>
      </w:r>
      <w:r>
        <w:rPr>
          <w:spacing w:val="-71"/>
        </w:rPr>
        <w:fldChar w:fldCharType="end"/>
      </w:r>
      <w:r>
        <w:rPr>
          <w:spacing w:val="8"/>
        </w:rPr>
        <w:t>投标人无需寄送和递交非加密的电子投标文件，无需到现场参加开标会议，无需到达现场提交原件资料。</w:t>
      </w:r>
    </w:p>
    <w:p>
      <w:pPr>
        <w:pStyle w:val="4"/>
        <w:spacing w:line="364" w:lineRule="auto"/>
        <w:ind w:right="641" w:firstLine="480"/>
        <w:jc w:val="both"/>
      </w:pPr>
      <w:r>
        <w:rPr>
          <w:spacing w:val="-8"/>
        </w:rPr>
        <w:t xml:space="preserve">投标人应当在投标截止时间前，使用投标人 </w:t>
      </w:r>
      <w:r>
        <w:t>CA</w:t>
      </w:r>
      <w:r>
        <w:rPr>
          <w:spacing w:val="-12"/>
        </w:rPr>
        <w:t xml:space="preserve"> 数字证书登录不见面开标大厅，在线签到并准时参加开标活动，并在规定时间内完成投标文件解密、答疑澄清等。</w:t>
      </w:r>
    </w:p>
    <w:p>
      <w:pPr>
        <w:pStyle w:val="4"/>
        <w:spacing w:line="364" w:lineRule="auto"/>
        <w:ind w:right="519" w:firstLine="480"/>
      </w:pPr>
      <w:r>
        <w:rPr>
          <w:spacing w:val="-6"/>
        </w:rPr>
        <w:t xml:space="preserve">投标人需在解密开始后 </w:t>
      </w:r>
      <w:r>
        <w:t>10</w:t>
      </w:r>
      <w:r>
        <w:rPr>
          <w:spacing w:val="-16"/>
        </w:rPr>
        <w:t xml:space="preserve"> 分钟内完成解密</w:t>
      </w:r>
      <w:r>
        <w:t>（</w:t>
      </w:r>
      <w:r>
        <w:rPr>
          <w:spacing w:val="-6"/>
        </w:rPr>
        <w:t>当投标人过多时，解密时间可以适当延</w:t>
      </w:r>
      <w:r>
        <w:rPr>
          <w:spacing w:val="-6"/>
          <w:w w:val="99"/>
        </w:rPr>
        <w:t>长</w:t>
      </w:r>
      <w:r>
        <w:rPr>
          <w:spacing w:val="-41"/>
          <w:w w:val="99"/>
        </w:rPr>
        <w:t>）</w:t>
      </w:r>
      <w:r>
        <w:rPr>
          <w:spacing w:val="-11"/>
          <w:w w:val="99"/>
        </w:rPr>
        <w:t>。在投标文件解密过程中，因投标人原因</w:t>
      </w:r>
      <w:r>
        <w:rPr>
          <w:spacing w:val="2"/>
          <w:w w:val="99"/>
        </w:rPr>
        <w:t>（</w:t>
      </w:r>
      <w:r>
        <w:rPr>
          <w:spacing w:val="-5"/>
          <w:w w:val="99"/>
        </w:rPr>
        <w:t>如投标人准备不到位、电脑网络问题等</w:t>
      </w:r>
      <w:r>
        <w:rPr>
          <w:spacing w:val="-125"/>
          <w:w w:val="99"/>
        </w:rPr>
        <w:t>）</w:t>
      </w:r>
      <w:r>
        <w:rPr>
          <w:spacing w:val="-5"/>
          <w:w w:val="99"/>
        </w:rPr>
        <w:t>，</w:t>
      </w:r>
      <w:r>
        <w:t>造成无法及时解密的，将被退回投标文件。</w:t>
      </w:r>
    </w:p>
    <w:p>
      <w:pPr>
        <w:pStyle w:val="4"/>
        <w:spacing w:line="307" w:lineRule="exact"/>
        <w:ind w:left="1020"/>
      </w:pPr>
      <w:r>
        <w:t>不见面开标服务的具体事宜，请查阅商城县公共资源交易中心网站首页—下载中心</w:t>
      </w:r>
    </w:p>
    <w:p>
      <w:pPr>
        <w:pStyle w:val="4"/>
        <w:spacing w:before="156"/>
      </w:pPr>
      <w:r>
        <w:t>—商城县不见面开标大厅系统操作手册 。</w:t>
      </w:r>
    </w:p>
    <w:p>
      <w:pPr>
        <w:pStyle w:val="4"/>
        <w:spacing w:before="161" w:line="362" w:lineRule="auto"/>
        <w:ind w:right="639" w:firstLine="480"/>
      </w:pPr>
      <w:r>
        <w:t>开标过程中，投标人如有异议，须在开标结束前通过系统提出，否则视同认可开标记录。开标结束后，对开标记录的任何异议不再接受。</w:t>
      </w:r>
    </w:p>
    <w:p>
      <w:pPr>
        <w:pStyle w:val="4"/>
        <w:spacing w:before="5"/>
        <w:ind w:left="1020"/>
      </w:pPr>
      <w:r>
        <w:t>特别说明如下：</w:t>
      </w:r>
    </w:p>
    <w:p>
      <w:pPr>
        <w:pStyle w:val="4"/>
        <w:numPr>
          <w:ilvl w:val="2"/>
          <w:numId w:val="17"/>
        </w:numPr>
        <w:tabs>
          <w:tab w:val="left" w:pos="1622"/>
        </w:tabs>
        <w:spacing w:before="160" w:after="0" w:line="240" w:lineRule="auto"/>
        <w:ind w:left="1621" w:right="0" w:hanging="602"/>
        <w:jc w:val="left"/>
      </w:pPr>
      <w:r>
        <w:t>远程开标项目的时间均以国家授时中心发布的时间为准。</w:t>
      </w:r>
    </w:p>
    <w:p>
      <w:pPr>
        <w:pStyle w:val="4"/>
        <w:numPr>
          <w:ilvl w:val="2"/>
          <w:numId w:val="17"/>
        </w:numPr>
        <w:tabs>
          <w:tab w:val="left" w:pos="1622"/>
        </w:tabs>
        <w:spacing w:before="158" w:after="0" w:line="364" w:lineRule="auto"/>
        <w:ind w:left="540" w:right="639" w:firstLine="480"/>
        <w:jc w:val="both"/>
      </w:pPr>
      <w:r>
        <w:rPr>
          <w:spacing w:val="-2"/>
        </w:rPr>
        <w:t>本项目招标文件和投标文件必须使用商城县品茗招投标工具软件编制，并通</w:t>
      </w:r>
      <w:r>
        <w:rPr>
          <w:spacing w:val="-3"/>
        </w:rPr>
        <w:t>过商城县品茗工程建设电子交易系统完成投标过程。投标人的投标文件的编制和递交， 应依照招标文件的规定进行。如未按招标文件要求编制、递交电子投标文件，将可能导致废标，其后果由投标人自负。</w:t>
      </w:r>
    </w:p>
    <w:p>
      <w:pPr>
        <w:pStyle w:val="4"/>
        <w:numPr>
          <w:ilvl w:val="2"/>
          <w:numId w:val="17"/>
        </w:numPr>
        <w:tabs>
          <w:tab w:val="left" w:pos="1636"/>
        </w:tabs>
        <w:spacing w:before="0" w:after="0" w:line="364" w:lineRule="auto"/>
        <w:ind w:left="540" w:right="639" w:firstLine="480"/>
        <w:jc w:val="left"/>
      </w:pPr>
      <w:r>
        <w:rPr>
          <w:spacing w:val="3"/>
          <w:w w:val="95"/>
        </w:rPr>
        <w:t xml:space="preserve">投标人通过商城县品茗工程建设电子交易系统递交的电子投标文件为评标依  </w:t>
      </w:r>
      <w:r>
        <w:rPr>
          <w:spacing w:val="3"/>
        </w:rPr>
        <w:t>据，投标人使用商城县品茗投标编制工具制作电子投标文件时生成两份文件，其中已加</w:t>
      </w:r>
    </w:p>
    <w:p>
      <w:pPr>
        <w:spacing w:after="0" w:line="364" w:lineRule="auto"/>
        <w:jc w:val="left"/>
        <w:sectPr>
          <w:pgSz w:w="11910" w:h="16840"/>
          <w:pgMar w:top="1380" w:right="720" w:bottom="1080" w:left="820" w:header="746" w:footer="891" w:gutter="0"/>
          <w:cols w:space="720" w:num="1"/>
        </w:sectPr>
      </w:pPr>
    </w:p>
    <w:p>
      <w:pPr>
        <w:pStyle w:val="4"/>
        <w:spacing w:before="61" w:line="364" w:lineRule="auto"/>
        <w:ind w:right="639"/>
        <w:jc w:val="both"/>
      </w:pPr>
      <w:r>
        <w:t>密投标文件用于上传至网上，开标当日，投标人不必抵达开标现场，仅需在任意地点通过不见面交易系统参加开标会议，并根据需要使用不见面交易系统与招标人进行互动交流以及文件传送等操作。</w:t>
      </w:r>
    </w:p>
    <w:p>
      <w:pPr>
        <w:pStyle w:val="4"/>
        <w:numPr>
          <w:ilvl w:val="2"/>
          <w:numId w:val="17"/>
        </w:numPr>
        <w:tabs>
          <w:tab w:val="left" w:pos="1622"/>
        </w:tabs>
        <w:spacing w:before="0" w:after="0" w:line="364" w:lineRule="auto"/>
        <w:ind w:left="540" w:right="639" w:firstLine="480"/>
        <w:jc w:val="both"/>
      </w:pPr>
      <w:r>
        <w:rPr>
          <w:spacing w:val="-4"/>
        </w:rPr>
        <w:t>投标文件递交截止时间前，各投标人的授权委托人或法人代表应提前进入不见面交易系统进行在线签到，并播放远程开标会议温馨提示测试音频，收听、观看实时音视频交互效果并及时在群聊板中反馈。</w:t>
      </w:r>
    </w:p>
    <w:p>
      <w:pPr>
        <w:pStyle w:val="4"/>
        <w:numPr>
          <w:ilvl w:val="2"/>
          <w:numId w:val="17"/>
        </w:numPr>
        <w:tabs>
          <w:tab w:val="left" w:pos="1622"/>
        </w:tabs>
        <w:spacing w:before="0" w:after="0" w:line="364" w:lineRule="auto"/>
        <w:ind w:left="540" w:right="639" w:firstLine="480"/>
        <w:jc w:val="both"/>
      </w:pPr>
      <w:r>
        <w:t>未在投标文件递交截止时间之前进行在线签到或未能在开标会议区内全程参</w:t>
      </w:r>
      <w:r>
        <w:rPr>
          <w:spacing w:val="-3"/>
        </w:rPr>
        <w:t>与交互的，视为放弃交互和放弃对开评标全过程提疑的权利，投标人将无法进行解密、唱标、评审结果查看等操作，并承担由此导致的一切后果。</w:t>
      </w:r>
    </w:p>
    <w:p>
      <w:pPr>
        <w:pStyle w:val="4"/>
        <w:numPr>
          <w:ilvl w:val="2"/>
          <w:numId w:val="17"/>
        </w:numPr>
        <w:tabs>
          <w:tab w:val="left" w:pos="1622"/>
        </w:tabs>
        <w:spacing w:before="0" w:after="0" w:line="364" w:lineRule="auto"/>
        <w:ind w:left="540" w:right="639" w:firstLine="480"/>
        <w:jc w:val="both"/>
      </w:pPr>
      <w:r>
        <w:rPr>
          <w:spacing w:val="-4"/>
        </w:rPr>
        <w:t>投标文件递交截止时间后，主持人将在系统内公布投标人名单并展示投标保证金递交匹配情况（如有），然后通过开标会议区发出投标文件解密的指令，投标人在各自地点按规定时间自行实施远程解密，投标人解密需在招标代理设置的规定时间之内完成。</w:t>
      </w:r>
    </w:p>
    <w:p>
      <w:pPr>
        <w:pStyle w:val="4"/>
        <w:spacing w:line="364" w:lineRule="auto"/>
        <w:ind w:right="519" w:firstLine="480"/>
      </w:pPr>
      <w:r>
        <w:t>①因投标人网络与电源不稳定、未按操作手册要求配置软硬件、解密锁发生故障或使用不当（</w:t>
      </w:r>
      <w:r>
        <w:rPr>
          <w:spacing w:val="-20"/>
        </w:rPr>
        <w:t xml:space="preserve">用错 </w:t>
      </w:r>
      <w:r>
        <w:t>CA</w:t>
      </w:r>
      <w:r>
        <w:rPr>
          <w:spacing w:val="-20"/>
        </w:rPr>
        <w:t xml:space="preserve"> 锁、</w:t>
      </w:r>
      <w:r>
        <w:t>CA</w:t>
      </w:r>
      <w:r>
        <w:rPr>
          <w:spacing w:val="-10"/>
        </w:rPr>
        <w:t xml:space="preserve"> 锁已过期、</w:t>
      </w:r>
      <w:r>
        <w:t>CA</w:t>
      </w:r>
      <w:r>
        <w:rPr>
          <w:spacing w:val="-8"/>
        </w:rPr>
        <w:t xml:space="preserve"> 锁加解密功能有问题等等</w:t>
      </w:r>
      <w:r>
        <w:t>）、故意不在要求时</w:t>
      </w:r>
      <w:r>
        <w:rPr>
          <w:spacing w:val="-7"/>
        </w:rPr>
        <w:t xml:space="preserve">限内完成解密等自身原因，导致投标文件在规定时间内未能解密、解密失败或解密超时， </w:t>
      </w:r>
      <w:r>
        <w:t>视为投标人放弃投标；（投标文件加解密需使用企业锁）</w:t>
      </w:r>
    </w:p>
    <w:p>
      <w:pPr>
        <w:pStyle w:val="4"/>
        <w:spacing w:line="364" w:lineRule="auto"/>
        <w:ind w:right="642" w:firstLine="480"/>
      </w:pPr>
      <w:r>
        <w:t>②因招标人原因或网上招投标平台发生故障等，导致无法按时完成投标文件解密或开、评标工作无法进行的，可根据实际情况相应延迟解密时间或调整开、评标时间。</w:t>
      </w:r>
    </w:p>
    <w:p>
      <w:pPr>
        <w:pStyle w:val="4"/>
        <w:spacing w:line="364" w:lineRule="auto"/>
        <w:ind w:right="642" w:firstLine="480"/>
      </w:pPr>
      <w:r>
        <w:t>③因不可抗力因素导致无法按时完成投标文件解密或开、评标工作无法进行的，可根据实际情况相应延迟解密时间或调整开、评标时间</w:t>
      </w:r>
    </w:p>
    <w:p>
      <w:pPr>
        <w:pStyle w:val="4"/>
        <w:numPr>
          <w:ilvl w:val="2"/>
          <w:numId w:val="17"/>
        </w:numPr>
        <w:tabs>
          <w:tab w:val="left" w:pos="1626"/>
        </w:tabs>
        <w:spacing w:before="0" w:after="0" w:line="364" w:lineRule="auto"/>
        <w:ind w:left="540" w:right="641" w:firstLine="480"/>
        <w:jc w:val="left"/>
      </w:pPr>
      <w:r>
        <w:rPr>
          <w:spacing w:val="-6"/>
        </w:rPr>
        <w:t xml:space="preserve">若投标人已申请多把 </w:t>
      </w:r>
      <w:r>
        <w:t>CA</w:t>
      </w:r>
      <w:r>
        <w:rPr>
          <w:spacing w:val="-8"/>
        </w:rPr>
        <w:t xml:space="preserve"> 锁，请注意使用差别，确保制作上传加密投标文件和</w:t>
      </w:r>
      <w:r>
        <w:rPr>
          <w:spacing w:val="-15"/>
        </w:rPr>
        <w:t xml:space="preserve">开标解密时使用的 </w:t>
      </w:r>
      <w:r>
        <w:t>CA</w:t>
      </w:r>
      <w:r>
        <w:rPr>
          <w:spacing w:val="-8"/>
        </w:rPr>
        <w:t xml:space="preserve"> 锁是一致的，否则造成解密失败的，由投标人负责。</w:t>
      </w:r>
    </w:p>
    <w:p>
      <w:pPr>
        <w:pStyle w:val="4"/>
        <w:numPr>
          <w:ilvl w:val="2"/>
          <w:numId w:val="17"/>
        </w:numPr>
        <w:tabs>
          <w:tab w:val="left" w:pos="1622"/>
        </w:tabs>
        <w:spacing w:before="0" w:after="0" w:line="364" w:lineRule="auto"/>
        <w:ind w:left="540" w:right="608" w:firstLine="480"/>
        <w:jc w:val="both"/>
      </w:pPr>
      <w:r>
        <w:rPr>
          <w:spacing w:val="-3"/>
        </w:rPr>
        <w:t>为顺利实现本项目开评标的远程交互，建议投标人配置的硬件设施有：高配置</w:t>
      </w:r>
      <w:r>
        <w:rPr>
          <w:spacing w:val="-6"/>
        </w:rPr>
        <w:t>电脑、高速稳定的网络、电源</w:t>
      </w:r>
      <w:r>
        <w:t>（不间断</w:t>
      </w:r>
      <w:r>
        <w:rPr>
          <w:spacing w:val="-10"/>
        </w:rPr>
        <w:t>）、</w:t>
      </w:r>
      <w:r>
        <w:t>CA</w:t>
      </w:r>
      <w:r>
        <w:rPr>
          <w:spacing w:val="-6"/>
        </w:rPr>
        <w:t xml:space="preserve"> 锁、音视频设备</w:t>
      </w:r>
      <w:r>
        <w:t>（</w:t>
      </w:r>
      <w:r>
        <w:rPr>
          <w:spacing w:val="-5"/>
        </w:rPr>
        <w:t>耳麦、话筒、高清摄像头、音响）等；建议投标人具备的软件设施有：IE</w:t>
      </w:r>
      <w:r>
        <w:rPr>
          <w:spacing w:val="-2"/>
        </w:rPr>
        <w:t xml:space="preserve"> 浏览器</w:t>
      </w:r>
      <w:r>
        <w:t>（</w:t>
      </w:r>
      <w:r>
        <w:rPr>
          <w:spacing w:val="-1"/>
        </w:rPr>
        <w:t xml:space="preserve">版本必须为 </w:t>
      </w:r>
      <w:r>
        <w:t>11</w:t>
      </w:r>
      <w:r>
        <w:rPr>
          <w:spacing w:val="-17"/>
        </w:rPr>
        <w:t xml:space="preserve"> 及以上</w:t>
      </w:r>
      <w:r>
        <w:rPr>
          <w:spacing w:val="-5"/>
        </w:rPr>
        <w:t xml:space="preserve">）， </w:t>
      </w:r>
      <w:r>
        <w:t>安装品茗驱动插件。为保证交互效果，建议投标人选择封闭安静的地点参与远程交互。因投标人自身软硬件配备不齐全或发生故障等问题而导致在交互过程中出现不稳定或中断等情况的，由投标人自身承担一切后果。</w:t>
      </w:r>
    </w:p>
    <w:p>
      <w:pPr>
        <w:pStyle w:val="4"/>
        <w:numPr>
          <w:ilvl w:val="2"/>
          <w:numId w:val="17"/>
        </w:numPr>
        <w:tabs>
          <w:tab w:val="left" w:pos="1622"/>
        </w:tabs>
        <w:spacing w:before="0" w:after="0" w:line="304" w:lineRule="exact"/>
        <w:ind w:left="1621" w:right="0" w:hanging="602"/>
        <w:jc w:val="left"/>
      </w:pPr>
      <w:r>
        <w:rPr>
          <w:spacing w:val="-2"/>
        </w:rPr>
        <w:t>投标单位应充分考虑到网络及系统平台可能存在的非正常情况，在投标文件编</w:t>
      </w:r>
    </w:p>
    <w:p>
      <w:pPr>
        <w:spacing w:after="0" w:line="304" w:lineRule="exact"/>
        <w:jc w:val="left"/>
        <w:sectPr>
          <w:pgSz w:w="11910" w:h="16840"/>
          <w:pgMar w:top="1380" w:right="720" w:bottom="1080" w:left="820" w:header="746" w:footer="891" w:gutter="0"/>
          <w:cols w:space="720" w:num="1"/>
        </w:sectPr>
      </w:pPr>
    </w:p>
    <w:p>
      <w:pPr>
        <w:pStyle w:val="4"/>
        <w:spacing w:before="61" w:line="364" w:lineRule="auto"/>
        <w:ind w:right="639"/>
        <w:jc w:val="both"/>
      </w:pPr>
      <w:r>
        <w:rPr>
          <w:spacing w:val="-3"/>
        </w:rPr>
        <w:t xml:space="preserve">制完成后应当最晚在递交投标文件截止时间前 </w:t>
      </w:r>
      <w:r>
        <w:t>1</w:t>
      </w:r>
      <w:r>
        <w:rPr>
          <w:spacing w:val="-7"/>
        </w:rPr>
        <w:t xml:space="preserve"> 小时，通过互联网使用 </w:t>
      </w:r>
      <w:r>
        <w:t>CA 数字证书登</w:t>
      </w:r>
      <w:r>
        <w:rPr>
          <w:spacing w:val="-9"/>
        </w:rPr>
        <w:t>录 “商城县工程建设电子交易平台”，将已加密电子响应文件上传，并确定已加密投标文件保存上传成功。</w:t>
      </w:r>
    </w:p>
    <w:p>
      <w:pPr>
        <w:pStyle w:val="4"/>
        <w:numPr>
          <w:ilvl w:val="1"/>
          <w:numId w:val="17"/>
        </w:numPr>
        <w:tabs>
          <w:tab w:val="left" w:pos="1024"/>
        </w:tabs>
        <w:spacing w:before="0" w:after="0" w:line="307" w:lineRule="exact"/>
        <w:ind w:left="1023" w:right="0" w:hanging="484"/>
        <w:jc w:val="both"/>
      </w:pPr>
      <w:r>
        <w:t>开标程序</w:t>
      </w:r>
    </w:p>
    <w:p>
      <w:pPr>
        <w:pStyle w:val="10"/>
        <w:numPr>
          <w:ilvl w:val="2"/>
          <w:numId w:val="18"/>
        </w:numPr>
        <w:tabs>
          <w:tab w:val="left" w:pos="1741"/>
        </w:tabs>
        <w:spacing w:before="158" w:after="0" w:line="240" w:lineRule="auto"/>
        <w:ind w:left="1740" w:right="0" w:hanging="721"/>
        <w:jc w:val="both"/>
        <w:rPr>
          <w:sz w:val="24"/>
        </w:rPr>
      </w:pPr>
      <w:r>
        <w:rPr>
          <w:sz w:val="24"/>
        </w:rPr>
        <w:t>主持人按下列程序对投标文件第一部分（商务及技术文件）进行公开开标：</w:t>
      </w:r>
    </w:p>
    <w:p>
      <w:pPr>
        <w:pStyle w:val="10"/>
        <w:numPr>
          <w:ilvl w:val="0"/>
          <w:numId w:val="19"/>
        </w:numPr>
        <w:tabs>
          <w:tab w:val="left" w:pos="1622"/>
        </w:tabs>
        <w:spacing w:before="160" w:after="0" w:line="240" w:lineRule="auto"/>
        <w:ind w:left="1621" w:right="0" w:hanging="602"/>
        <w:jc w:val="left"/>
        <w:rPr>
          <w:sz w:val="24"/>
        </w:rPr>
      </w:pPr>
      <w:r>
        <w:rPr>
          <w:sz w:val="24"/>
        </w:rPr>
        <w:t>宣布开标纪律；</w:t>
      </w:r>
    </w:p>
    <w:p>
      <w:pPr>
        <w:pStyle w:val="10"/>
        <w:numPr>
          <w:ilvl w:val="0"/>
          <w:numId w:val="19"/>
        </w:numPr>
        <w:tabs>
          <w:tab w:val="left" w:pos="1622"/>
        </w:tabs>
        <w:spacing w:before="158" w:after="0" w:line="240" w:lineRule="auto"/>
        <w:ind w:left="1621" w:right="0" w:hanging="602"/>
        <w:jc w:val="left"/>
        <w:rPr>
          <w:sz w:val="24"/>
        </w:rPr>
      </w:pPr>
      <w:r>
        <w:rPr>
          <w:sz w:val="24"/>
        </w:rPr>
        <w:t>公布在投标截止时间前递交投标文件的投标人数量；</w:t>
      </w:r>
    </w:p>
    <w:p>
      <w:pPr>
        <w:pStyle w:val="10"/>
        <w:numPr>
          <w:ilvl w:val="0"/>
          <w:numId w:val="19"/>
        </w:numPr>
        <w:tabs>
          <w:tab w:val="left" w:pos="1622"/>
        </w:tabs>
        <w:spacing w:before="161" w:after="0" w:line="240" w:lineRule="auto"/>
        <w:ind w:left="1621" w:right="0" w:hanging="602"/>
        <w:jc w:val="left"/>
        <w:rPr>
          <w:sz w:val="24"/>
        </w:rPr>
      </w:pPr>
      <w:r>
        <w:rPr>
          <w:sz w:val="24"/>
        </w:rPr>
        <w:t>宣布开标人、唱标人、记录人等有关人员姓名；</w:t>
      </w:r>
    </w:p>
    <w:p>
      <w:pPr>
        <w:pStyle w:val="10"/>
        <w:numPr>
          <w:ilvl w:val="0"/>
          <w:numId w:val="19"/>
        </w:numPr>
        <w:tabs>
          <w:tab w:val="left" w:pos="1622"/>
        </w:tabs>
        <w:spacing w:before="160" w:after="0" w:line="362" w:lineRule="auto"/>
        <w:ind w:left="540" w:right="639" w:firstLine="480"/>
        <w:jc w:val="left"/>
        <w:rPr>
          <w:sz w:val="24"/>
        </w:rPr>
      </w:pPr>
      <w:r>
        <w:rPr>
          <w:spacing w:val="-5"/>
          <w:sz w:val="24"/>
        </w:rPr>
        <w:t>按照招标文件规定的程序开标，公布标段名称、投标人名称、投标保证金的递</w:t>
      </w:r>
      <w:r>
        <w:rPr>
          <w:sz w:val="24"/>
        </w:rPr>
        <w:t>交情况、工期及其他内容，并记录在案；</w:t>
      </w:r>
    </w:p>
    <w:p>
      <w:pPr>
        <w:pStyle w:val="10"/>
        <w:numPr>
          <w:ilvl w:val="0"/>
          <w:numId w:val="19"/>
        </w:numPr>
        <w:tabs>
          <w:tab w:val="left" w:pos="1622"/>
        </w:tabs>
        <w:spacing w:before="3" w:after="0" w:line="364" w:lineRule="auto"/>
        <w:ind w:left="540" w:right="639" w:firstLine="480"/>
        <w:jc w:val="left"/>
        <w:rPr>
          <w:sz w:val="24"/>
        </w:rPr>
      </w:pPr>
      <w:r>
        <w:rPr>
          <w:spacing w:val="-4"/>
          <w:sz w:val="24"/>
        </w:rPr>
        <w:t>按照宣布的开标顺序投标人代表、招标人代表、记录人等有关人员在开标记录</w:t>
      </w:r>
      <w:r>
        <w:rPr>
          <w:sz w:val="24"/>
        </w:rPr>
        <w:t>上签字确认；</w:t>
      </w:r>
    </w:p>
    <w:p>
      <w:pPr>
        <w:pStyle w:val="10"/>
        <w:numPr>
          <w:ilvl w:val="0"/>
          <w:numId w:val="19"/>
        </w:numPr>
        <w:tabs>
          <w:tab w:val="left" w:pos="1622"/>
        </w:tabs>
        <w:spacing w:before="1" w:after="0" w:line="240" w:lineRule="auto"/>
        <w:ind w:left="1621" w:right="0" w:hanging="602"/>
        <w:jc w:val="left"/>
        <w:rPr>
          <w:sz w:val="24"/>
        </w:rPr>
      </w:pPr>
      <w:r>
        <w:rPr>
          <w:spacing w:val="-20"/>
          <w:sz w:val="24"/>
        </w:rPr>
        <w:t xml:space="preserve">抽取 </w:t>
      </w:r>
      <w:r>
        <w:rPr>
          <w:sz w:val="24"/>
        </w:rPr>
        <w:t>K</w:t>
      </w:r>
      <w:r>
        <w:rPr>
          <w:spacing w:val="-30"/>
          <w:sz w:val="24"/>
        </w:rPr>
        <w:t xml:space="preserve"> 值</w:t>
      </w:r>
    </w:p>
    <w:p>
      <w:pPr>
        <w:pStyle w:val="10"/>
        <w:numPr>
          <w:ilvl w:val="0"/>
          <w:numId w:val="19"/>
        </w:numPr>
        <w:tabs>
          <w:tab w:val="left" w:pos="1622"/>
        </w:tabs>
        <w:spacing w:before="158" w:after="0" w:line="240" w:lineRule="auto"/>
        <w:ind w:left="1621" w:right="0" w:hanging="602"/>
        <w:jc w:val="left"/>
        <w:rPr>
          <w:sz w:val="24"/>
        </w:rPr>
      </w:pPr>
      <w:r>
        <w:rPr>
          <w:sz w:val="24"/>
        </w:rPr>
        <w:t>开标会议结束。</w:t>
      </w:r>
    </w:p>
    <w:p>
      <w:pPr>
        <w:pStyle w:val="10"/>
        <w:numPr>
          <w:ilvl w:val="2"/>
          <w:numId w:val="18"/>
        </w:numPr>
        <w:tabs>
          <w:tab w:val="left" w:pos="1741"/>
        </w:tabs>
        <w:spacing w:before="161" w:after="0" w:line="362" w:lineRule="auto"/>
        <w:ind w:left="540" w:right="642" w:firstLine="480"/>
        <w:jc w:val="both"/>
        <w:rPr>
          <w:sz w:val="24"/>
        </w:rPr>
      </w:pPr>
      <w:r>
        <w:rPr>
          <w:sz w:val="24"/>
        </w:rPr>
        <w:t>在投标文件第一部分（商务及技术文件）开标现场，投标文件第二部分（报价文件）由系统自动隐藏不予公布，。</w:t>
      </w:r>
    </w:p>
    <w:p>
      <w:pPr>
        <w:pStyle w:val="10"/>
        <w:numPr>
          <w:ilvl w:val="2"/>
          <w:numId w:val="18"/>
        </w:numPr>
        <w:tabs>
          <w:tab w:val="left" w:pos="1744"/>
        </w:tabs>
        <w:spacing w:before="4" w:after="0" w:line="362" w:lineRule="auto"/>
        <w:ind w:left="540" w:right="639" w:firstLine="480"/>
        <w:jc w:val="both"/>
        <w:rPr>
          <w:sz w:val="24"/>
        </w:rPr>
      </w:pPr>
      <w:r>
        <w:rPr>
          <w:spacing w:val="-4"/>
          <w:sz w:val="24"/>
        </w:rPr>
        <w:t xml:space="preserve">招标人将按照本章第 </w:t>
      </w:r>
      <w:r>
        <w:rPr>
          <w:sz w:val="24"/>
        </w:rPr>
        <w:t>5.1</w:t>
      </w:r>
      <w:r>
        <w:rPr>
          <w:spacing w:val="-6"/>
          <w:sz w:val="24"/>
        </w:rPr>
        <w:t xml:space="preserve"> 款规定的时间和地点，对通过第一部分</w:t>
      </w:r>
      <w:r>
        <w:rPr>
          <w:sz w:val="24"/>
        </w:rPr>
        <w:t>（商务及技术文件）详细评审的投标文件第二部分（报价文件）进行解密。</w:t>
      </w:r>
    </w:p>
    <w:p>
      <w:pPr>
        <w:pStyle w:val="5"/>
        <w:spacing w:before="5" w:line="364" w:lineRule="auto"/>
        <w:ind w:right="639" w:firstLine="480"/>
        <w:jc w:val="both"/>
      </w:pPr>
      <w:r>
        <w:t>5.2.5 在投标文件开标过程中，若招标人宣读的内容与投标文件不符，投标人有权在开标现场提出疑问，经招标人当场核查确认之后，可重新宣读其投标文件。若投标人现场未提出疑问，则认为投标人己确认招标人宣读的内容。</w:t>
      </w:r>
    </w:p>
    <w:p>
      <w:pPr>
        <w:pStyle w:val="10"/>
        <w:numPr>
          <w:ilvl w:val="1"/>
          <w:numId w:val="17"/>
        </w:numPr>
        <w:tabs>
          <w:tab w:val="left" w:pos="1441"/>
        </w:tabs>
        <w:spacing w:before="0" w:after="0" w:line="304" w:lineRule="exact"/>
        <w:ind w:left="1440" w:right="0" w:hanging="421"/>
        <w:jc w:val="both"/>
        <w:rPr>
          <w:sz w:val="24"/>
        </w:rPr>
      </w:pPr>
      <w:r>
        <w:rPr>
          <w:sz w:val="24"/>
        </w:rPr>
        <w:t>开标异议</w:t>
      </w:r>
    </w:p>
    <w:p>
      <w:pPr>
        <w:pStyle w:val="5"/>
        <w:spacing w:before="161" w:line="364" w:lineRule="auto"/>
        <w:ind w:right="639" w:firstLine="480"/>
      </w:pPr>
      <w:r>
        <w:t>投标人对开标有异议的，应在开标现场提出，招标人当场作出答复，并制作记录， 有异议的投标人、招标人代表、记录人等有关人员在记录上签字确认。</w:t>
      </w:r>
    </w:p>
    <w:p>
      <w:pPr>
        <w:pStyle w:val="5"/>
        <w:spacing w:before="2"/>
        <w:ind w:left="0"/>
        <w:rPr>
          <w:sz w:val="20"/>
        </w:rPr>
      </w:pPr>
    </w:p>
    <w:p>
      <w:pPr>
        <w:pStyle w:val="4"/>
        <w:numPr>
          <w:ilvl w:val="0"/>
          <w:numId w:val="20"/>
        </w:numPr>
        <w:tabs>
          <w:tab w:val="left" w:pos="904"/>
        </w:tabs>
        <w:spacing w:before="0" w:after="0" w:line="240" w:lineRule="auto"/>
        <w:ind w:left="903" w:right="0" w:hanging="364"/>
        <w:jc w:val="both"/>
      </w:pPr>
      <w:bookmarkStart w:id="65" w:name="6. 评标"/>
      <w:bookmarkEnd w:id="65"/>
      <w:bookmarkStart w:id="66" w:name="6. 评标"/>
      <w:bookmarkEnd w:id="66"/>
      <w:r>
        <w:t>评标</w:t>
      </w:r>
    </w:p>
    <w:p>
      <w:pPr>
        <w:pStyle w:val="5"/>
        <w:spacing w:before="9"/>
        <w:ind w:left="0"/>
        <w:rPr>
          <w:b/>
          <w:sz w:val="32"/>
        </w:rPr>
      </w:pPr>
    </w:p>
    <w:p>
      <w:pPr>
        <w:pStyle w:val="4"/>
        <w:numPr>
          <w:ilvl w:val="1"/>
          <w:numId w:val="20"/>
        </w:numPr>
        <w:tabs>
          <w:tab w:val="left" w:pos="1024"/>
        </w:tabs>
        <w:spacing w:before="0" w:after="0" w:line="240" w:lineRule="auto"/>
        <w:ind w:left="1023" w:right="0" w:hanging="484"/>
        <w:jc w:val="both"/>
      </w:pPr>
      <w:bookmarkStart w:id="67" w:name="6.1 评标委员会"/>
      <w:bookmarkEnd w:id="67"/>
      <w:bookmarkStart w:id="68" w:name="6.1 评标委员会"/>
      <w:bookmarkEnd w:id="68"/>
      <w:r>
        <w:t>评标委员会</w:t>
      </w:r>
    </w:p>
    <w:p>
      <w:pPr>
        <w:pStyle w:val="10"/>
        <w:numPr>
          <w:ilvl w:val="2"/>
          <w:numId w:val="20"/>
        </w:numPr>
        <w:tabs>
          <w:tab w:val="left" w:pos="1741"/>
        </w:tabs>
        <w:spacing w:before="161" w:after="0" w:line="364" w:lineRule="auto"/>
        <w:ind w:left="540" w:right="639" w:firstLine="480"/>
        <w:jc w:val="both"/>
        <w:rPr>
          <w:sz w:val="24"/>
        </w:rPr>
      </w:pPr>
      <w:r>
        <w:rPr>
          <w:sz w:val="24"/>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20"/>
        </w:numPr>
        <w:tabs>
          <w:tab w:val="left" w:pos="1741"/>
        </w:tabs>
        <w:spacing w:before="61" w:after="0" w:line="240" w:lineRule="auto"/>
        <w:ind w:left="1740" w:right="0" w:hanging="721"/>
        <w:jc w:val="left"/>
        <w:rPr>
          <w:sz w:val="24"/>
        </w:rPr>
      </w:pPr>
      <w:r>
        <w:rPr>
          <w:sz w:val="24"/>
        </w:rPr>
        <w:t>评标委员会成员有下列情形之一的，应当回避：</w:t>
      </w:r>
    </w:p>
    <w:p>
      <w:pPr>
        <w:pStyle w:val="10"/>
        <w:numPr>
          <w:ilvl w:val="0"/>
          <w:numId w:val="21"/>
        </w:numPr>
        <w:tabs>
          <w:tab w:val="left" w:pos="1622"/>
        </w:tabs>
        <w:spacing w:before="160" w:after="0" w:line="240" w:lineRule="auto"/>
        <w:ind w:left="1621" w:right="0" w:hanging="602"/>
        <w:jc w:val="left"/>
        <w:rPr>
          <w:sz w:val="24"/>
        </w:rPr>
      </w:pPr>
      <w:r>
        <w:rPr>
          <w:sz w:val="24"/>
        </w:rPr>
        <w:t>为负责招标项目监督管理的交通运输主管部门的工作人员：</w:t>
      </w:r>
    </w:p>
    <w:p>
      <w:pPr>
        <w:pStyle w:val="10"/>
        <w:numPr>
          <w:ilvl w:val="0"/>
          <w:numId w:val="21"/>
        </w:numPr>
        <w:tabs>
          <w:tab w:val="left" w:pos="1622"/>
        </w:tabs>
        <w:spacing w:before="158" w:after="0" w:line="240" w:lineRule="auto"/>
        <w:ind w:left="1621" w:right="0" w:hanging="602"/>
        <w:jc w:val="left"/>
        <w:rPr>
          <w:sz w:val="24"/>
        </w:rPr>
      </w:pPr>
      <w:r>
        <w:rPr>
          <w:sz w:val="24"/>
        </w:rPr>
        <w:t>与投标人法定代表人或其委托代理人有近亲属关系；</w:t>
      </w:r>
    </w:p>
    <w:p>
      <w:pPr>
        <w:pStyle w:val="10"/>
        <w:numPr>
          <w:ilvl w:val="0"/>
          <w:numId w:val="21"/>
        </w:numPr>
        <w:tabs>
          <w:tab w:val="left" w:pos="1622"/>
        </w:tabs>
        <w:spacing w:before="161" w:after="0" w:line="240" w:lineRule="auto"/>
        <w:ind w:left="1621" w:right="0" w:hanging="602"/>
        <w:jc w:val="left"/>
        <w:rPr>
          <w:sz w:val="24"/>
        </w:rPr>
      </w:pPr>
      <w:r>
        <w:rPr>
          <w:sz w:val="24"/>
        </w:rPr>
        <w:t>为投标人的工作人员或退休人员：</w:t>
      </w:r>
    </w:p>
    <w:p>
      <w:pPr>
        <w:pStyle w:val="10"/>
        <w:numPr>
          <w:ilvl w:val="0"/>
          <w:numId w:val="21"/>
        </w:numPr>
        <w:tabs>
          <w:tab w:val="left" w:pos="1622"/>
        </w:tabs>
        <w:spacing w:before="158" w:after="0" w:line="240" w:lineRule="auto"/>
        <w:ind w:left="1621" w:right="0" w:hanging="602"/>
        <w:jc w:val="left"/>
        <w:rPr>
          <w:sz w:val="24"/>
        </w:rPr>
      </w:pPr>
      <w:r>
        <w:rPr>
          <w:sz w:val="24"/>
        </w:rPr>
        <w:t>与投标人有其他利害关系，可能影响评标活动公正性 ：</w:t>
      </w:r>
    </w:p>
    <w:p>
      <w:pPr>
        <w:pStyle w:val="10"/>
        <w:numPr>
          <w:ilvl w:val="0"/>
          <w:numId w:val="21"/>
        </w:numPr>
        <w:tabs>
          <w:tab w:val="left" w:pos="1622"/>
        </w:tabs>
        <w:spacing w:before="160" w:after="0" w:line="240" w:lineRule="auto"/>
        <w:ind w:left="1621" w:right="0" w:hanging="602"/>
        <w:jc w:val="left"/>
        <w:rPr>
          <w:sz w:val="24"/>
        </w:rPr>
      </w:pPr>
      <w:r>
        <w:rPr>
          <w:sz w:val="24"/>
        </w:rPr>
        <w:t>在与招标投标有关的活动中有过违法违规行为、曾受过行政处罚或刑事处罚。</w:t>
      </w:r>
    </w:p>
    <w:p>
      <w:pPr>
        <w:pStyle w:val="10"/>
        <w:numPr>
          <w:ilvl w:val="2"/>
          <w:numId w:val="20"/>
        </w:numPr>
        <w:tabs>
          <w:tab w:val="left" w:pos="1741"/>
        </w:tabs>
        <w:spacing w:before="158" w:after="0" w:line="364" w:lineRule="auto"/>
        <w:ind w:left="540" w:right="639" w:firstLine="480"/>
        <w:jc w:val="both"/>
        <w:rPr>
          <w:sz w:val="24"/>
        </w:rPr>
      </w:pPr>
      <w:r>
        <w:rPr>
          <w:sz w:val="24"/>
        </w:rPr>
        <w:t>评标过程中，评标委员会成员有回避事由、擅离职守或因健康等原因不能继续评标的，招标人有权更换。被更换的评标委员会成员作出的评审结论无效，由更换后的评标委员会成员重新进行评审。</w:t>
      </w:r>
    </w:p>
    <w:p>
      <w:pPr>
        <w:pStyle w:val="4"/>
        <w:numPr>
          <w:ilvl w:val="1"/>
          <w:numId w:val="20"/>
        </w:numPr>
        <w:tabs>
          <w:tab w:val="left" w:pos="1024"/>
        </w:tabs>
        <w:spacing w:before="0" w:after="0" w:line="307" w:lineRule="exact"/>
        <w:ind w:left="1023" w:right="0" w:hanging="484"/>
        <w:jc w:val="both"/>
      </w:pPr>
      <w:bookmarkStart w:id="69" w:name="6.2 评标原则"/>
      <w:bookmarkEnd w:id="69"/>
      <w:bookmarkStart w:id="70" w:name="6.2 评标原则"/>
      <w:bookmarkEnd w:id="70"/>
      <w:r>
        <w:t>评标原则</w:t>
      </w:r>
    </w:p>
    <w:p>
      <w:pPr>
        <w:pStyle w:val="5"/>
        <w:spacing w:before="158"/>
        <w:ind w:left="1020"/>
      </w:pPr>
      <w:r>
        <w:t>评标活动遵循公平、公正、科学和择优的原则。</w:t>
      </w:r>
    </w:p>
    <w:p>
      <w:pPr>
        <w:pStyle w:val="4"/>
        <w:numPr>
          <w:ilvl w:val="1"/>
          <w:numId w:val="20"/>
        </w:numPr>
        <w:tabs>
          <w:tab w:val="left" w:pos="1024"/>
        </w:tabs>
        <w:spacing w:before="161" w:after="0" w:line="240" w:lineRule="auto"/>
        <w:ind w:left="1023" w:right="0" w:hanging="484"/>
        <w:jc w:val="both"/>
      </w:pPr>
      <w:bookmarkStart w:id="71" w:name="6.3 评标"/>
      <w:bookmarkEnd w:id="71"/>
      <w:bookmarkStart w:id="72" w:name="6.3 评标"/>
      <w:bookmarkEnd w:id="72"/>
      <w:r>
        <w:t>评标</w:t>
      </w:r>
    </w:p>
    <w:p>
      <w:pPr>
        <w:pStyle w:val="10"/>
        <w:numPr>
          <w:ilvl w:val="2"/>
          <w:numId w:val="20"/>
        </w:numPr>
        <w:tabs>
          <w:tab w:val="left" w:pos="1681"/>
        </w:tabs>
        <w:spacing w:before="160" w:after="0" w:line="364" w:lineRule="auto"/>
        <w:ind w:left="540" w:right="639" w:firstLine="480"/>
        <w:jc w:val="both"/>
        <w:rPr>
          <w:sz w:val="24"/>
        </w:rPr>
      </w:pPr>
      <w:r>
        <w:rPr>
          <w:spacing w:val="-9"/>
          <w:sz w:val="24"/>
        </w:rPr>
        <w:t>评标委员会按照第三章“评标办法”规定的方法、评审因素、标准和程序对投</w:t>
      </w:r>
      <w:r>
        <w:rPr>
          <w:sz w:val="24"/>
        </w:rPr>
        <w:t>标文件进行评审。第三章“评标办法”没有规定的方法、评审因素和标准，不作为评标依据。</w:t>
      </w:r>
    </w:p>
    <w:p>
      <w:pPr>
        <w:pStyle w:val="10"/>
        <w:numPr>
          <w:ilvl w:val="2"/>
          <w:numId w:val="20"/>
        </w:numPr>
        <w:tabs>
          <w:tab w:val="left" w:pos="1681"/>
        </w:tabs>
        <w:spacing w:before="0" w:after="0" w:line="364" w:lineRule="auto"/>
        <w:ind w:left="540" w:right="639" w:firstLine="480"/>
        <w:jc w:val="both"/>
        <w:rPr>
          <w:sz w:val="24"/>
        </w:rPr>
      </w:pPr>
      <w:r>
        <w:rPr>
          <w:spacing w:val="-11"/>
          <w:sz w:val="24"/>
        </w:rPr>
        <w:t>评标完成后，评标委员会应向招标人提交书面评标报告和中标候选人名单。评</w:t>
      </w:r>
      <w:r>
        <w:rPr>
          <w:sz w:val="24"/>
        </w:rPr>
        <w:t>标委员会推荐的中标候选人的人数见投标人须知前附表。</w:t>
      </w:r>
    </w:p>
    <w:p>
      <w:pPr>
        <w:pStyle w:val="5"/>
        <w:spacing w:before="12"/>
        <w:ind w:left="0"/>
        <w:rPr>
          <w:sz w:val="19"/>
        </w:rPr>
      </w:pPr>
    </w:p>
    <w:p>
      <w:pPr>
        <w:pStyle w:val="4"/>
        <w:numPr>
          <w:ilvl w:val="0"/>
          <w:numId w:val="20"/>
        </w:numPr>
        <w:tabs>
          <w:tab w:val="left" w:pos="785"/>
        </w:tabs>
        <w:spacing w:before="0" w:after="0" w:line="240" w:lineRule="auto"/>
        <w:ind w:left="784" w:right="0" w:hanging="245"/>
        <w:jc w:val="left"/>
      </w:pPr>
      <w:bookmarkStart w:id="73" w:name="7.合同授予"/>
      <w:bookmarkEnd w:id="73"/>
      <w:bookmarkStart w:id="74" w:name="7.合同授予"/>
      <w:bookmarkEnd w:id="74"/>
      <w:r>
        <w:t>合同授予</w:t>
      </w:r>
    </w:p>
    <w:p>
      <w:pPr>
        <w:pStyle w:val="5"/>
        <w:spacing w:before="9"/>
        <w:ind w:left="0"/>
        <w:rPr>
          <w:b/>
          <w:sz w:val="32"/>
        </w:rPr>
      </w:pPr>
    </w:p>
    <w:p>
      <w:pPr>
        <w:pStyle w:val="4"/>
        <w:numPr>
          <w:ilvl w:val="1"/>
          <w:numId w:val="20"/>
        </w:numPr>
        <w:tabs>
          <w:tab w:val="left" w:pos="1048"/>
        </w:tabs>
        <w:spacing w:before="1" w:after="0" w:line="240" w:lineRule="auto"/>
        <w:ind w:left="1047" w:right="0" w:hanging="508"/>
        <w:jc w:val="both"/>
      </w:pPr>
      <w:bookmarkStart w:id="75" w:name="7.1 中标候选人公示"/>
      <w:bookmarkEnd w:id="75"/>
      <w:bookmarkStart w:id="76" w:name="7.1 中标候选人公示"/>
      <w:bookmarkEnd w:id="76"/>
      <w:r>
        <w:rPr>
          <w:spacing w:val="2"/>
          <w:w w:val="105"/>
        </w:rPr>
        <w:t>中标候选人公示</w:t>
      </w:r>
    </w:p>
    <w:p>
      <w:pPr>
        <w:pStyle w:val="5"/>
        <w:spacing w:before="160"/>
        <w:ind w:left="1174"/>
      </w:pPr>
      <w:r>
        <w:t>招标人在收到评标报告之日起 3 日内，按照投标人须知前附表规定的公示媒介和</w:t>
      </w:r>
    </w:p>
    <w:p>
      <w:pPr>
        <w:pStyle w:val="5"/>
        <w:spacing w:before="158"/>
        <w:ind w:left="694"/>
      </w:pPr>
      <w:r>
        <w:t>期限公示中标候选人，公示期不得少于 3 日，公示内容包括：</w:t>
      </w:r>
    </w:p>
    <w:p>
      <w:pPr>
        <w:pStyle w:val="5"/>
        <w:spacing w:before="161" w:line="364" w:lineRule="auto"/>
        <w:ind w:right="685" w:firstLine="240"/>
      </w:pPr>
      <w:r>
        <w:t>(1）中标候选人排序、名称、投标报价，对工程质量要求、安全目标和工期的响应情况；</w:t>
      </w:r>
    </w:p>
    <w:p>
      <w:pPr>
        <w:pStyle w:val="5"/>
        <w:spacing w:line="364" w:lineRule="auto"/>
        <w:ind w:left="1020" w:right="4050"/>
      </w:pPr>
      <w:r>
        <w:t>(2）被否决投标的投标人名称、否决依据和原因； (3）提出异议的渠道和方式；</w:t>
      </w:r>
    </w:p>
    <w:p>
      <w:pPr>
        <w:pStyle w:val="5"/>
        <w:spacing w:line="306" w:lineRule="exact"/>
        <w:ind w:left="1020"/>
      </w:pPr>
      <w:r>
        <w:t>(4）投标人须知前附表规定公示的其他内容。</w:t>
      </w:r>
    </w:p>
    <w:p>
      <w:pPr>
        <w:pStyle w:val="4"/>
        <w:numPr>
          <w:ilvl w:val="1"/>
          <w:numId w:val="20"/>
        </w:numPr>
        <w:tabs>
          <w:tab w:val="left" w:pos="1048"/>
        </w:tabs>
        <w:spacing w:before="159" w:after="0" w:line="240" w:lineRule="auto"/>
        <w:ind w:left="1047" w:right="0" w:hanging="508"/>
        <w:jc w:val="both"/>
      </w:pPr>
      <w:bookmarkStart w:id="77" w:name="7.2 评标结果异议"/>
      <w:bookmarkEnd w:id="77"/>
      <w:bookmarkStart w:id="78" w:name="7.2 评标结果异议"/>
      <w:bookmarkEnd w:id="78"/>
      <w:r>
        <w:rPr>
          <w:spacing w:val="2"/>
          <w:w w:val="105"/>
        </w:rPr>
        <w:t>评标结果异议</w:t>
      </w:r>
    </w:p>
    <w:p>
      <w:pPr>
        <w:pStyle w:val="5"/>
        <w:spacing w:before="158" w:line="364" w:lineRule="auto"/>
        <w:ind w:right="573" w:firstLine="480"/>
      </w:pPr>
      <w:r>
        <w:t>投标人或其他利害关系人对依法必须进行招标的项目的评标结果有异议的，应在中标候选人公示期间提出。招标人将在收到异议之日起 3 日内作出答复；作出答复前，将</w:t>
      </w:r>
    </w:p>
    <w:p>
      <w:pPr>
        <w:spacing w:after="0" w:line="364" w:lineRule="auto"/>
        <w:sectPr>
          <w:footerReference r:id="rId10" w:type="default"/>
          <w:pgSz w:w="11910" w:h="16840"/>
          <w:pgMar w:top="1380" w:right="720" w:bottom="1080" w:left="820" w:header="746" w:footer="891" w:gutter="0"/>
          <w:pgNumType w:start="30"/>
          <w:cols w:space="720" w:num="1"/>
        </w:sectPr>
      </w:pPr>
    </w:p>
    <w:p>
      <w:pPr>
        <w:pStyle w:val="5"/>
        <w:spacing w:before="61"/>
      </w:pPr>
      <w:r>
        <w:t>暂停招标投标活动。</w:t>
      </w:r>
    </w:p>
    <w:p>
      <w:pPr>
        <w:pStyle w:val="4"/>
        <w:numPr>
          <w:ilvl w:val="1"/>
          <w:numId w:val="20"/>
        </w:numPr>
        <w:tabs>
          <w:tab w:val="left" w:pos="1048"/>
        </w:tabs>
        <w:spacing w:before="160" w:after="0" w:line="240" w:lineRule="auto"/>
        <w:ind w:left="1047" w:right="0" w:hanging="508"/>
        <w:jc w:val="both"/>
      </w:pPr>
      <w:bookmarkStart w:id="79" w:name="7.3 中标候选人履约能力审查"/>
      <w:bookmarkEnd w:id="79"/>
      <w:bookmarkStart w:id="80" w:name="7.3 中标候选人履约能力审查"/>
      <w:bookmarkEnd w:id="80"/>
      <w:r>
        <w:rPr>
          <w:spacing w:val="2"/>
          <w:w w:val="105"/>
        </w:rPr>
        <w:t>中标候选人履约能力审查</w:t>
      </w:r>
    </w:p>
    <w:p>
      <w:pPr>
        <w:pStyle w:val="5"/>
        <w:spacing w:before="158" w:line="364" w:lineRule="auto"/>
        <w:ind w:right="639" w:firstLine="480"/>
        <w:jc w:val="both"/>
      </w:pPr>
      <w:r>
        <w:t>中标候选人的经营、财务状况发生较大变化或存在违法行为，招标人认为可能影响其履约能力的，将在发出中标通知书前提请原评标委员会按照招标文件规定的标准和方法进行审查确认。</w:t>
      </w:r>
    </w:p>
    <w:p>
      <w:pPr>
        <w:pStyle w:val="4"/>
        <w:numPr>
          <w:ilvl w:val="1"/>
          <w:numId w:val="20"/>
        </w:numPr>
        <w:tabs>
          <w:tab w:val="left" w:pos="985"/>
        </w:tabs>
        <w:spacing w:before="0" w:after="0" w:line="307" w:lineRule="exact"/>
        <w:ind w:left="984" w:right="0" w:hanging="445"/>
        <w:jc w:val="both"/>
      </w:pPr>
      <w:bookmarkStart w:id="81" w:name="7.4定标"/>
      <w:bookmarkEnd w:id="81"/>
      <w:bookmarkStart w:id="82" w:name="7.4定标"/>
      <w:bookmarkEnd w:id="82"/>
      <w:r>
        <w:rPr>
          <w:spacing w:val="2"/>
        </w:rPr>
        <w:t>定标</w:t>
      </w:r>
    </w:p>
    <w:p>
      <w:pPr>
        <w:pStyle w:val="5"/>
        <w:spacing w:before="158"/>
        <w:ind w:left="1020"/>
      </w:pPr>
      <w:r>
        <w:t>按照投标人须知前附表的规定，招标人或招标人授权的评标委员会依法确定中标人。</w:t>
      </w:r>
    </w:p>
    <w:p>
      <w:pPr>
        <w:pStyle w:val="4"/>
        <w:numPr>
          <w:ilvl w:val="1"/>
          <w:numId w:val="20"/>
        </w:numPr>
        <w:tabs>
          <w:tab w:val="left" w:pos="1048"/>
        </w:tabs>
        <w:spacing w:before="161" w:after="0" w:line="240" w:lineRule="auto"/>
        <w:ind w:left="1047" w:right="0" w:hanging="508"/>
        <w:jc w:val="left"/>
      </w:pPr>
      <w:bookmarkStart w:id="83" w:name="7.5 中标通知"/>
      <w:bookmarkEnd w:id="83"/>
      <w:bookmarkStart w:id="84" w:name="7.5 中标通知"/>
      <w:bookmarkEnd w:id="84"/>
      <w:r>
        <w:rPr>
          <w:spacing w:val="3"/>
          <w:w w:val="105"/>
        </w:rPr>
        <w:t>中标通知</w:t>
      </w:r>
    </w:p>
    <w:p>
      <w:pPr>
        <w:pStyle w:val="5"/>
        <w:spacing w:before="160" w:line="362" w:lineRule="auto"/>
        <w:ind w:right="586" w:firstLine="480"/>
      </w:pPr>
      <w:r>
        <w:t>在本章第 3.3 款规定的投标有效期内，招标人以投标人须知前附表规定的形式向中标人发出中标通知书，同时将中标结果通知未中标的投标人。</w:t>
      </w:r>
    </w:p>
    <w:p>
      <w:pPr>
        <w:pStyle w:val="4"/>
        <w:numPr>
          <w:ilvl w:val="1"/>
          <w:numId w:val="20"/>
        </w:numPr>
        <w:tabs>
          <w:tab w:val="left" w:pos="985"/>
        </w:tabs>
        <w:spacing w:before="3" w:after="0" w:line="240" w:lineRule="auto"/>
        <w:ind w:left="984" w:right="0" w:hanging="445"/>
        <w:jc w:val="left"/>
      </w:pPr>
      <w:bookmarkStart w:id="85" w:name="7.6中标结果公告"/>
      <w:bookmarkEnd w:id="85"/>
      <w:bookmarkStart w:id="86" w:name="7.6中标结果公告"/>
      <w:bookmarkEnd w:id="86"/>
      <w:r>
        <w:rPr>
          <w:spacing w:val="2"/>
          <w:w w:val="105"/>
        </w:rPr>
        <w:t>中标结果公告</w:t>
      </w:r>
    </w:p>
    <w:p>
      <w:pPr>
        <w:pStyle w:val="5"/>
        <w:spacing w:before="160"/>
        <w:ind w:left="1020"/>
      </w:pPr>
      <w:r>
        <w:t>招标人在确定中标人之日起 3 日内，按照投标人须知前附表规定的公告媒介和期限</w:t>
      </w:r>
    </w:p>
    <w:p>
      <w:pPr>
        <w:pStyle w:val="5"/>
        <w:spacing w:before="161"/>
      </w:pPr>
      <w:r>
        <w:t>公告中标结果，公告期不得少于 3 日。公告内容包括中标人名称、中标价。</w:t>
      </w:r>
    </w:p>
    <w:p>
      <w:pPr>
        <w:pStyle w:val="4"/>
        <w:numPr>
          <w:ilvl w:val="1"/>
          <w:numId w:val="20"/>
        </w:numPr>
        <w:tabs>
          <w:tab w:val="left" w:pos="985"/>
        </w:tabs>
        <w:spacing w:before="158" w:after="0" w:line="240" w:lineRule="auto"/>
        <w:ind w:left="984" w:right="0" w:hanging="445"/>
        <w:jc w:val="both"/>
      </w:pPr>
      <w:bookmarkStart w:id="167" w:name="_GoBack"/>
      <w:bookmarkStart w:id="87" w:name="7.7履约保证金"/>
      <w:bookmarkEnd w:id="87"/>
      <w:bookmarkStart w:id="88" w:name="7.7履约保证金"/>
      <w:bookmarkEnd w:id="88"/>
      <w:r>
        <w:rPr>
          <w:spacing w:val="2"/>
          <w:w w:val="105"/>
        </w:rPr>
        <w:t>履约保证金</w:t>
      </w:r>
      <w:bookmarkEnd w:id="167"/>
      <w:r>
        <w:rPr>
          <w:rFonts w:hint="eastAsia"/>
          <w:spacing w:val="2"/>
          <w:w w:val="105"/>
          <w:lang w:eastAsia="zh-CN"/>
        </w:rPr>
        <w:t>（</w:t>
      </w:r>
      <w:r>
        <w:rPr>
          <w:rFonts w:hint="eastAsia"/>
          <w:spacing w:val="2"/>
          <w:w w:val="105"/>
          <w:lang w:val="en-US" w:eastAsia="zh-CN"/>
        </w:rPr>
        <w:t xml:space="preserve">如有 </w:t>
      </w:r>
      <w:r>
        <w:rPr>
          <w:rFonts w:hint="eastAsia"/>
          <w:spacing w:val="2"/>
          <w:w w:val="105"/>
          <w:lang w:eastAsia="zh-CN"/>
        </w:rPr>
        <w:t>）</w:t>
      </w:r>
    </w:p>
    <w:p>
      <w:pPr>
        <w:pStyle w:val="10"/>
        <w:numPr>
          <w:ilvl w:val="2"/>
          <w:numId w:val="20"/>
        </w:numPr>
        <w:tabs>
          <w:tab w:val="left" w:pos="1739"/>
        </w:tabs>
        <w:spacing w:before="160" w:after="0" w:line="364" w:lineRule="auto"/>
        <w:ind w:left="540" w:right="806" w:firstLine="504"/>
        <w:jc w:val="both"/>
        <w:rPr>
          <w:sz w:val="24"/>
        </w:rPr>
      </w:pPr>
      <w:r>
        <w:rPr>
          <w:spacing w:val="-10"/>
          <w:sz w:val="24"/>
        </w:rPr>
        <w:t>在签订合同前，中标人应按投标人须知前附表规定的形式、金额和招标文件</w:t>
      </w:r>
      <w:r>
        <w:rPr>
          <w:spacing w:val="-13"/>
          <w:sz w:val="24"/>
        </w:rPr>
        <w:t>第四章“合同条款及格式”规定的或事先经过招标人书面认可的履约保证金格式向招标</w:t>
      </w:r>
      <w:r>
        <w:rPr>
          <w:spacing w:val="-1"/>
          <w:sz w:val="24"/>
        </w:rPr>
        <w:t xml:space="preserve">人提交履约保证金。除投标人须知前附表另有规定外，履约保证金为签约合同价的 </w:t>
      </w:r>
      <w:r>
        <w:rPr>
          <w:sz w:val="24"/>
        </w:rPr>
        <w:t>5%</w:t>
      </w:r>
    </w:p>
    <w:p>
      <w:pPr>
        <w:pStyle w:val="5"/>
        <w:spacing w:line="305" w:lineRule="exact"/>
      </w:pPr>
      <w:r>
        <w:t>。联合体中标的，其履约保证金以联合体各方或联合体中牵头人的名义提交。</w:t>
      </w:r>
    </w:p>
    <w:p>
      <w:pPr>
        <w:pStyle w:val="5"/>
        <w:spacing w:before="161" w:line="362" w:lineRule="auto"/>
        <w:ind w:right="806" w:firstLine="504"/>
      </w:pPr>
      <w:r>
        <w:rPr>
          <w:spacing w:val="-3"/>
        </w:rPr>
        <w:t xml:space="preserve">采用银行保函时，应由符合投标人须知前附表规定级别的银行开具，所需的费  </w:t>
      </w:r>
      <w:r>
        <w:rPr>
          <w:spacing w:val="-3"/>
          <w:w w:val="105"/>
        </w:rPr>
        <w:t>用由中标人承担，中标人应保证银行保函有效。</w:t>
      </w:r>
    </w:p>
    <w:p>
      <w:pPr>
        <w:pStyle w:val="10"/>
        <w:numPr>
          <w:ilvl w:val="2"/>
          <w:numId w:val="20"/>
        </w:numPr>
        <w:tabs>
          <w:tab w:val="left" w:pos="1741"/>
        </w:tabs>
        <w:spacing w:before="5" w:after="0" w:line="364" w:lineRule="auto"/>
        <w:ind w:left="540" w:right="914" w:firstLine="504"/>
        <w:jc w:val="both"/>
        <w:rPr>
          <w:sz w:val="24"/>
        </w:rPr>
      </w:pPr>
      <w:r>
        <w:rPr>
          <w:spacing w:val="-7"/>
          <w:w w:val="105"/>
          <w:sz w:val="24"/>
        </w:rPr>
        <w:t xml:space="preserve">中标人不能按本章第 </w:t>
      </w:r>
      <w:r>
        <w:rPr>
          <w:w w:val="105"/>
          <w:sz w:val="24"/>
        </w:rPr>
        <w:t>7.7.1</w:t>
      </w:r>
      <w:r>
        <w:rPr>
          <w:spacing w:val="-16"/>
          <w:w w:val="105"/>
          <w:sz w:val="24"/>
        </w:rPr>
        <w:t xml:space="preserve"> 项要求提交履约保证金的，视为放弃中标， </w:t>
      </w:r>
      <w:r>
        <w:rPr>
          <w:spacing w:val="-17"/>
          <w:sz w:val="24"/>
        </w:rPr>
        <w:t xml:space="preserve">其投标保证金不予退还，给招标人造成的损失超过投标保证金数额的，中标人还应对  </w:t>
      </w:r>
      <w:r>
        <w:rPr>
          <w:spacing w:val="-5"/>
          <w:w w:val="105"/>
          <w:sz w:val="24"/>
        </w:rPr>
        <w:t>超过部分予以赔偿。</w:t>
      </w:r>
    </w:p>
    <w:p>
      <w:pPr>
        <w:pStyle w:val="4"/>
        <w:numPr>
          <w:ilvl w:val="1"/>
          <w:numId w:val="20"/>
        </w:numPr>
        <w:tabs>
          <w:tab w:val="left" w:pos="985"/>
        </w:tabs>
        <w:spacing w:before="0" w:after="0" w:line="307" w:lineRule="exact"/>
        <w:ind w:left="984" w:right="0" w:hanging="445"/>
        <w:jc w:val="both"/>
      </w:pPr>
      <w:bookmarkStart w:id="89" w:name="7.8签订合同"/>
      <w:bookmarkEnd w:id="89"/>
      <w:bookmarkStart w:id="90" w:name="7.8签订合同"/>
      <w:bookmarkEnd w:id="90"/>
      <w:r>
        <w:rPr>
          <w:spacing w:val="3"/>
          <w:w w:val="105"/>
        </w:rPr>
        <w:t>签订合同</w:t>
      </w:r>
    </w:p>
    <w:p>
      <w:pPr>
        <w:pStyle w:val="10"/>
        <w:numPr>
          <w:ilvl w:val="2"/>
          <w:numId w:val="20"/>
        </w:numPr>
        <w:tabs>
          <w:tab w:val="left" w:pos="1878"/>
        </w:tabs>
        <w:spacing w:before="158" w:after="0" w:line="364" w:lineRule="auto"/>
        <w:ind w:left="694" w:right="716" w:firstLine="480"/>
        <w:jc w:val="both"/>
        <w:rPr>
          <w:sz w:val="24"/>
        </w:rPr>
      </w:pPr>
      <w:r>
        <w:rPr>
          <w:spacing w:val="-5"/>
          <w:w w:val="105"/>
          <w:sz w:val="24"/>
        </w:rPr>
        <w:t xml:space="preserve">招标人和中标人应在中标通知书发出之日起 </w:t>
      </w:r>
      <w:r>
        <w:rPr>
          <w:w w:val="105"/>
          <w:sz w:val="24"/>
        </w:rPr>
        <w:t>30</w:t>
      </w:r>
      <w:r>
        <w:rPr>
          <w:spacing w:val="-39"/>
          <w:w w:val="105"/>
          <w:sz w:val="24"/>
        </w:rPr>
        <w:t xml:space="preserve"> 日内，根据招标文件和中标</w:t>
      </w:r>
      <w:r>
        <w:rPr>
          <w:spacing w:val="-17"/>
          <w:sz w:val="24"/>
        </w:rPr>
        <w:t xml:space="preserve">人的投标文件订立书面合同。中标人无正当理由拒签合同，在签订合同时向招标人提  </w:t>
      </w:r>
      <w:r>
        <w:rPr>
          <w:spacing w:val="-22"/>
          <w:sz w:val="24"/>
        </w:rPr>
        <w:t xml:space="preserve">出附加条件，或不按照招标文件要求提交履约保证金的，招标人取消其中标资格，其投  </w:t>
      </w:r>
      <w:r>
        <w:rPr>
          <w:spacing w:val="-32"/>
          <w:sz w:val="24"/>
        </w:rPr>
        <w:t xml:space="preserve">标保证金不予退还；给招标人造成的损失超过投标保证金数额的，中标人还应对超过部  </w:t>
      </w:r>
      <w:r>
        <w:rPr>
          <w:spacing w:val="3"/>
          <w:w w:val="105"/>
          <w:sz w:val="24"/>
        </w:rPr>
        <w:t>分予以赔偿。</w:t>
      </w:r>
    </w:p>
    <w:p>
      <w:pPr>
        <w:pStyle w:val="10"/>
        <w:numPr>
          <w:ilvl w:val="2"/>
          <w:numId w:val="20"/>
        </w:numPr>
        <w:tabs>
          <w:tab w:val="left" w:pos="1837"/>
        </w:tabs>
        <w:spacing w:before="0" w:after="0" w:line="306" w:lineRule="exact"/>
        <w:ind w:left="1836" w:right="0" w:hanging="666"/>
        <w:jc w:val="both"/>
        <w:rPr>
          <w:sz w:val="24"/>
        </w:rPr>
      </w:pPr>
      <w:r>
        <w:rPr>
          <w:spacing w:val="-12"/>
          <w:w w:val="105"/>
          <w:sz w:val="24"/>
        </w:rPr>
        <w:t>发出中标通知书后，招标人无正当理由拒签合同，或在签订合同时向中</w:t>
      </w:r>
    </w:p>
    <w:p>
      <w:pPr>
        <w:spacing w:after="0" w:line="306" w:lineRule="exact"/>
        <w:jc w:val="both"/>
        <w:rPr>
          <w:sz w:val="24"/>
        </w:rPr>
        <w:sectPr>
          <w:pgSz w:w="11910" w:h="16840"/>
          <w:pgMar w:top="1380" w:right="720" w:bottom="1080" w:left="820" w:header="746" w:footer="891" w:gutter="0"/>
          <w:cols w:space="720" w:num="1"/>
        </w:sectPr>
      </w:pPr>
    </w:p>
    <w:p>
      <w:pPr>
        <w:pStyle w:val="5"/>
        <w:spacing w:before="61" w:line="364" w:lineRule="auto"/>
        <w:ind w:left="689" w:right="956"/>
      </w:pPr>
      <w:r>
        <w:rPr>
          <w:spacing w:val="-24"/>
        </w:rPr>
        <w:t xml:space="preserve">标人提出附加条件的，招标人向中标人退还投标保证金；给中标人造成损失的，还应  </w:t>
      </w:r>
      <w:r>
        <w:rPr>
          <w:spacing w:val="-2"/>
          <w:w w:val="105"/>
        </w:rPr>
        <w:t>赔偿损失。</w:t>
      </w:r>
    </w:p>
    <w:p>
      <w:pPr>
        <w:pStyle w:val="10"/>
        <w:numPr>
          <w:ilvl w:val="2"/>
          <w:numId w:val="20"/>
        </w:numPr>
        <w:tabs>
          <w:tab w:val="left" w:pos="1876"/>
        </w:tabs>
        <w:spacing w:before="0" w:after="0" w:line="306" w:lineRule="exact"/>
        <w:ind w:left="1875" w:right="0" w:hanging="702"/>
        <w:jc w:val="left"/>
        <w:rPr>
          <w:sz w:val="24"/>
        </w:rPr>
      </w:pPr>
      <w:r>
        <w:rPr>
          <w:w w:val="105"/>
          <w:sz w:val="24"/>
        </w:rPr>
        <w:t>签约合同价的确定原则如下：</w:t>
      </w:r>
      <w:r>
        <w:rPr>
          <w:spacing w:val="8"/>
          <w:w w:val="105"/>
          <w:sz w:val="24"/>
        </w:rPr>
        <w:t>（</w:t>
      </w:r>
      <w:r>
        <w:rPr>
          <w:spacing w:val="4"/>
          <w:w w:val="105"/>
          <w:sz w:val="24"/>
        </w:rPr>
        <w:t>本项目不适用</w:t>
      </w:r>
      <w:r>
        <w:rPr>
          <w:w w:val="105"/>
          <w:sz w:val="24"/>
        </w:rPr>
        <w:t>）</w:t>
      </w:r>
    </w:p>
    <w:p>
      <w:pPr>
        <w:pStyle w:val="5"/>
        <w:spacing w:before="160" w:line="364" w:lineRule="auto"/>
        <w:ind w:left="694" w:right="742" w:firstLine="480"/>
        <w:jc w:val="right"/>
      </w:pPr>
      <w:r>
        <w:t>(1）按照评标办法规定对投标报价进行修正后，若修正后的最终投标报价小 于开标时的投标函大写金额报价，则签订合同时以修正后的最终投标报价为准； (2）按照评标办法规定对投标报价进行修正后，若修正后的最终投标报价大</w:t>
      </w:r>
    </w:p>
    <w:p>
      <w:pPr>
        <w:pStyle w:val="5"/>
        <w:spacing w:line="364" w:lineRule="auto"/>
        <w:ind w:left="694" w:right="745"/>
      </w:pPr>
      <w:r>
        <w:t xml:space="preserve">于开标时的投标函大写金额报价，则签订合同时以开标时的投标函大写金额报价 </w:t>
      </w:r>
      <w:r>
        <w:rPr>
          <w:w w:val="105"/>
        </w:rPr>
        <w:t>为准，同时按比例修正相应子目的单价或合价。</w:t>
      </w:r>
    </w:p>
    <w:p>
      <w:pPr>
        <w:pStyle w:val="10"/>
        <w:numPr>
          <w:ilvl w:val="2"/>
          <w:numId w:val="20"/>
        </w:numPr>
        <w:tabs>
          <w:tab w:val="left" w:pos="1871"/>
        </w:tabs>
        <w:spacing w:before="0" w:after="0" w:line="362" w:lineRule="auto"/>
        <w:ind w:left="694" w:right="766" w:firstLine="482"/>
        <w:jc w:val="left"/>
        <w:rPr>
          <w:sz w:val="24"/>
        </w:rPr>
      </w:pPr>
      <w:r>
        <w:rPr>
          <w:spacing w:val="-16"/>
          <w:sz w:val="24"/>
        </w:rPr>
        <w:t xml:space="preserve">联合体中标的，联合体各方应共同与招标人签订合同，就中标项目向招标 </w:t>
      </w:r>
      <w:r>
        <w:rPr>
          <w:spacing w:val="6"/>
          <w:w w:val="105"/>
          <w:sz w:val="24"/>
        </w:rPr>
        <w:t>人承担连带责任。</w:t>
      </w:r>
    </w:p>
    <w:p>
      <w:pPr>
        <w:pStyle w:val="10"/>
        <w:numPr>
          <w:ilvl w:val="2"/>
          <w:numId w:val="20"/>
        </w:numPr>
        <w:tabs>
          <w:tab w:val="left" w:pos="1868"/>
        </w:tabs>
        <w:spacing w:before="1" w:after="0" w:line="364" w:lineRule="auto"/>
        <w:ind w:left="694" w:right="917" w:firstLine="480"/>
        <w:jc w:val="both"/>
        <w:rPr>
          <w:sz w:val="24"/>
        </w:rPr>
      </w:pPr>
      <w:r>
        <w:rPr>
          <w:spacing w:val="-11"/>
          <w:sz w:val="24"/>
        </w:rPr>
        <w:t xml:space="preserve">招标人和中标人在签订合同协议书的同时，需按照本招标文件规定的格 </w:t>
      </w:r>
      <w:r>
        <w:rPr>
          <w:spacing w:val="-17"/>
          <w:sz w:val="24"/>
        </w:rPr>
        <w:t>式和要求签订廉政合同及安全生产合同，明确双方在廉政建设和安全生产方面的权利和义务以及应承担的违约责任。</w:t>
      </w:r>
    </w:p>
    <w:p>
      <w:pPr>
        <w:pStyle w:val="5"/>
        <w:spacing w:before="2"/>
        <w:ind w:left="0"/>
        <w:rPr>
          <w:sz w:val="20"/>
        </w:rPr>
      </w:pPr>
    </w:p>
    <w:p>
      <w:pPr>
        <w:pStyle w:val="4"/>
        <w:numPr>
          <w:ilvl w:val="0"/>
          <w:numId w:val="20"/>
        </w:numPr>
        <w:tabs>
          <w:tab w:val="left" w:pos="785"/>
        </w:tabs>
        <w:spacing w:before="0" w:after="0" w:line="240" w:lineRule="auto"/>
        <w:ind w:left="784" w:right="0" w:hanging="245"/>
        <w:jc w:val="left"/>
      </w:pPr>
      <w:bookmarkStart w:id="91" w:name="8.纪律和监督"/>
      <w:bookmarkEnd w:id="91"/>
      <w:bookmarkStart w:id="92" w:name="8.纪律和监督"/>
      <w:bookmarkEnd w:id="92"/>
      <w:r>
        <w:t>纪律和监督</w:t>
      </w:r>
    </w:p>
    <w:p>
      <w:pPr>
        <w:pStyle w:val="5"/>
        <w:ind w:left="0"/>
        <w:rPr>
          <w:b/>
        </w:rPr>
      </w:pPr>
    </w:p>
    <w:p>
      <w:pPr>
        <w:pStyle w:val="4"/>
        <w:numPr>
          <w:ilvl w:val="1"/>
          <w:numId w:val="20"/>
        </w:numPr>
        <w:tabs>
          <w:tab w:val="left" w:pos="1024"/>
        </w:tabs>
        <w:spacing w:before="184" w:after="0" w:line="240" w:lineRule="auto"/>
        <w:ind w:left="1023" w:right="0" w:hanging="484"/>
        <w:jc w:val="left"/>
      </w:pPr>
      <w:bookmarkStart w:id="93" w:name="8.1 对招标人的纪律要求"/>
      <w:bookmarkEnd w:id="93"/>
      <w:bookmarkStart w:id="94" w:name="8.1 对招标人的纪律要求"/>
      <w:bookmarkEnd w:id="94"/>
      <w:r>
        <w:t>对招标人的纪律要求</w:t>
      </w:r>
    </w:p>
    <w:p>
      <w:pPr>
        <w:pStyle w:val="5"/>
        <w:spacing w:before="161" w:line="364" w:lineRule="auto"/>
        <w:ind w:left="694" w:right="754" w:firstLine="480"/>
      </w:pPr>
      <w:r>
        <w:rPr>
          <w:spacing w:val="-8"/>
        </w:rPr>
        <w:t>招标人不得泄露招标投标活动中应保密的情况和资料，不得与投标人串通损害国家利益、社会公共利益或他人合法权益。</w:t>
      </w:r>
    </w:p>
    <w:p>
      <w:pPr>
        <w:pStyle w:val="4"/>
        <w:numPr>
          <w:ilvl w:val="1"/>
          <w:numId w:val="20"/>
        </w:numPr>
        <w:tabs>
          <w:tab w:val="left" w:pos="964"/>
        </w:tabs>
        <w:spacing w:before="0" w:after="0" w:line="306" w:lineRule="exact"/>
        <w:ind w:left="963" w:right="0" w:hanging="424"/>
        <w:jc w:val="left"/>
      </w:pPr>
      <w:bookmarkStart w:id="95" w:name="8.2对投标人的纪律要求"/>
      <w:bookmarkEnd w:id="95"/>
      <w:bookmarkStart w:id="96" w:name="8.2对投标人的纪律要求"/>
      <w:bookmarkEnd w:id="96"/>
      <w:r>
        <w:t>对投标人的纪律要求</w:t>
      </w:r>
    </w:p>
    <w:p>
      <w:pPr>
        <w:pStyle w:val="5"/>
        <w:spacing w:before="160" w:line="364" w:lineRule="auto"/>
        <w:ind w:right="764" w:firstLine="480"/>
        <w:jc w:val="both"/>
      </w:pPr>
      <w:r>
        <w:rPr>
          <w:spacing w:val="-4"/>
        </w:rPr>
        <w:t>投标人不得相互串通投标或与招标人串通投标，不得向招标人或评标委员会成员行</w:t>
      </w:r>
      <w:r>
        <w:rPr>
          <w:spacing w:val="-7"/>
        </w:rPr>
        <w:t>贿谋取中标，不得以他人名义投标或以其他方式弄虚作假骗取中标；投标人不得以任何</w:t>
      </w:r>
      <w:r>
        <w:t>方式干扰、影响评标工作。</w:t>
      </w:r>
    </w:p>
    <w:p>
      <w:pPr>
        <w:pStyle w:val="4"/>
        <w:numPr>
          <w:ilvl w:val="1"/>
          <w:numId w:val="20"/>
        </w:numPr>
        <w:tabs>
          <w:tab w:val="left" w:pos="964"/>
        </w:tabs>
        <w:spacing w:before="0" w:after="0" w:line="305" w:lineRule="exact"/>
        <w:ind w:left="963" w:right="0" w:hanging="424"/>
        <w:jc w:val="both"/>
      </w:pPr>
      <w:bookmarkStart w:id="97" w:name="8.3对评标委员会成员的纪律要求"/>
      <w:bookmarkEnd w:id="97"/>
      <w:bookmarkStart w:id="98" w:name="8.3对评标委员会成员的纪律要求"/>
      <w:bookmarkEnd w:id="98"/>
      <w:r>
        <w:t>对评标委员会成员的纪律要求</w:t>
      </w:r>
    </w:p>
    <w:p>
      <w:pPr>
        <w:pStyle w:val="5"/>
        <w:spacing w:before="161" w:line="364" w:lineRule="auto"/>
        <w:ind w:right="764" w:firstLine="480"/>
        <w:jc w:val="both"/>
      </w:pPr>
      <w:r>
        <w:rPr>
          <w:spacing w:val="-4"/>
        </w:rPr>
        <w:t>评标委员会成员不得收受他人的财物或其他好处，不得向他人透露对投标文件的评</w:t>
      </w:r>
      <w:r>
        <w:rPr>
          <w:spacing w:val="-7"/>
        </w:rPr>
        <w:t>审和比较、中标候选人的推荐情况以及评标有关的其他情况。在评标活动中，评标委员会成员应客观、公正地履行职责，遵守职业道德，不得擅离职守，影响评标程序正常进</w:t>
      </w:r>
      <w:r>
        <w:t>行，不得使用第三章“评标办法”没有规定的评审因素和标准进行评标。</w:t>
      </w:r>
    </w:p>
    <w:p>
      <w:pPr>
        <w:pStyle w:val="4"/>
        <w:numPr>
          <w:ilvl w:val="1"/>
          <w:numId w:val="20"/>
        </w:numPr>
        <w:tabs>
          <w:tab w:val="left" w:pos="964"/>
        </w:tabs>
        <w:spacing w:before="0" w:after="0" w:line="305" w:lineRule="exact"/>
        <w:ind w:left="963" w:right="0" w:hanging="424"/>
        <w:jc w:val="both"/>
      </w:pPr>
      <w:bookmarkStart w:id="99" w:name="8.4对与评标活动有关的工作人员的纪律要求"/>
      <w:bookmarkEnd w:id="99"/>
      <w:bookmarkStart w:id="100" w:name="8.4对与评标活动有关的工作人员的纪律要求"/>
      <w:bookmarkEnd w:id="100"/>
      <w:r>
        <w:t>对与评标活动有关的工作人员的纪律要求</w:t>
      </w:r>
    </w:p>
    <w:p>
      <w:pPr>
        <w:pStyle w:val="5"/>
        <w:spacing w:before="160"/>
        <w:ind w:left="1176"/>
      </w:pPr>
      <w:r>
        <w:t>与评标活动有关的工作人员不得收受他人的财物或其他好处，不得向他人透露对</w:t>
      </w:r>
    </w:p>
    <w:p>
      <w:pPr>
        <w:spacing w:after="0"/>
        <w:sectPr>
          <w:pgSz w:w="11910" w:h="16840"/>
          <w:pgMar w:top="1380" w:right="720" w:bottom="1080" w:left="820" w:header="746" w:footer="891" w:gutter="0"/>
          <w:cols w:space="720" w:num="1"/>
        </w:sectPr>
      </w:pPr>
    </w:p>
    <w:p>
      <w:pPr>
        <w:pStyle w:val="5"/>
        <w:spacing w:before="61" w:line="364" w:lineRule="auto"/>
        <w:ind w:left="694" w:right="917"/>
      </w:pPr>
      <w:r>
        <w:rPr>
          <w:spacing w:val="-19"/>
        </w:rPr>
        <w:t xml:space="preserve">投标文件的评审和比较、中标候选人的推荐情况以及评标有关的其他情况。在评标活  </w:t>
      </w:r>
      <w:r>
        <w:rPr>
          <w:spacing w:val="-15"/>
          <w:w w:val="105"/>
        </w:rPr>
        <w:t>动中，与评标活动有关的工作人员不得擅离职守，影响评标程序正常进行。</w:t>
      </w:r>
    </w:p>
    <w:p>
      <w:pPr>
        <w:pStyle w:val="4"/>
        <w:numPr>
          <w:ilvl w:val="1"/>
          <w:numId w:val="20"/>
        </w:numPr>
        <w:tabs>
          <w:tab w:val="left" w:pos="964"/>
        </w:tabs>
        <w:spacing w:before="0" w:after="0" w:line="306" w:lineRule="exact"/>
        <w:ind w:left="963" w:right="0" w:hanging="424"/>
        <w:jc w:val="left"/>
      </w:pPr>
      <w:bookmarkStart w:id="101" w:name="8.5投诉"/>
      <w:bookmarkEnd w:id="101"/>
      <w:bookmarkStart w:id="102" w:name="8.5投诉"/>
      <w:bookmarkEnd w:id="102"/>
      <w:r>
        <w:t>投诉</w:t>
      </w:r>
    </w:p>
    <w:p>
      <w:pPr>
        <w:pStyle w:val="10"/>
        <w:numPr>
          <w:ilvl w:val="2"/>
          <w:numId w:val="20"/>
        </w:numPr>
        <w:tabs>
          <w:tab w:val="left" w:pos="1871"/>
        </w:tabs>
        <w:spacing w:before="160" w:after="0" w:line="364" w:lineRule="auto"/>
        <w:ind w:left="689" w:right="764" w:firstLine="487"/>
        <w:jc w:val="both"/>
        <w:rPr>
          <w:sz w:val="24"/>
        </w:rPr>
      </w:pPr>
      <w:r>
        <w:rPr>
          <w:spacing w:val="-3"/>
          <w:sz w:val="24"/>
        </w:rPr>
        <w:t xml:space="preserve">投标人或其他利害关系人认为招标投标活动不符合法律、行政法规规定 </w:t>
      </w:r>
      <w:r>
        <w:rPr>
          <w:spacing w:val="-7"/>
          <w:w w:val="105"/>
          <w:sz w:val="24"/>
        </w:rPr>
        <w:t xml:space="preserve">的，可以自知道或应当知道之日起 </w:t>
      </w:r>
      <w:r>
        <w:rPr>
          <w:w w:val="105"/>
          <w:sz w:val="24"/>
        </w:rPr>
        <w:t>10</w:t>
      </w:r>
      <w:r>
        <w:rPr>
          <w:spacing w:val="-10"/>
          <w:w w:val="105"/>
          <w:sz w:val="24"/>
        </w:rPr>
        <w:t xml:space="preserve"> 日内向有关行政监督部门投诉。投诉应有明确的请求和必要的证明材料。</w:t>
      </w:r>
    </w:p>
    <w:p>
      <w:pPr>
        <w:pStyle w:val="5"/>
        <w:spacing w:line="305" w:lineRule="exact"/>
        <w:ind w:left="1176"/>
      </w:pPr>
      <w:r>
        <w:rPr>
          <w:w w:val="105"/>
        </w:rPr>
        <w:t>监督部门的联系方式见投标人须知前附表。</w:t>
      </w:r>
    </w:p>
    <w:p>
      <w:pPr>
        <w:pStyle w:val="10"/>
        <w:numPr>
          <w:ilvl w:val="2"/>
          <w:numId w:val="20"/>
        </w:numPr>
        <w:tabs>
          <w:tab w:val="left" w:pos="1933"/>
        </w:tabs>
        <w:spacing w:before="161" w:after="0" w:line="364" w:lineRule="auto"/>
        <w:ind w:left="689" w:right="766" w:firstLine="487"/>
        <w:jc w:val="both"/>
        <w:rPr>
          <w:sz w:val="24"/>
        </w:rPr>
      </w:pPr>
      <w:r>
        <w:rPr>
          <w:spacing w:val="-6"/>
          <w:sz w:val="24"/>
        </w:rPr>
        <w:t xml:space="preserve">投标人或其他利害关系人对招标文件、开标和评标结果提出投诉的，应 </w:t>
      </w:r>
      <w:r>
        <w:rPr>
          <w:spacing w:val="-6"/>
          <w:w w:val="105"/>
          <w:sz w:val="24"/>
        </w:rPr>
        <w:t xml:space="preserve">按照投标人须知第 </w:t>
      </w:r>
      <w:r>
        <w:rPr>
          <w:w w:val="105"/>
          <w:sz w:val="24"/>
        </w:rPr>
        <w:t>2.4</w:t>
      </w:r>
      <w:r>
        <w:rPr>
          <w:spacing w:val="-27"/>
          <w:w w:val="105"/>
          <w:sz w:val="24"/>
        </w:rPr>
        <w:t xml:space="preserve"> 款、第 </w:t>
      </w:r>
      <w:r>
        <w:rPr>
          <w:w w:val="105"/>
          <w:sz w:val="24"/>
        </w:rPr>
        <w:t>5.3</w:t>
      </w:r>
      <w:r>
        <w:rPr>
          <w:spacing w:val="-27"/>
          <w:w w:val="105"/>
          <w:sz w:val="24"/>
        </w:rPr>
        <w:t xml:space="preserve"> 款和第 </w:t>
      </w:r>
      <w:r>
        <w:rPr>
          <w:w w:val="105"/>
          <w:sz w:val="24"/>
        </w:rPr>
        <w:t>7.2</w:t>
      </w:r>
      <w:r>
        <w:rPr>
          <w:spacing w:val="-5"/>
          <w:w w:val="105"/>
          <w:sz w:val="24"/>
        </w:rPr>
        <w:t xml:space="preserve"> 款的规定先向招标人提出异议。异</w:t>
      </w:r>
      <w:r>
        <w:rPr>
          <w:spacing w:val="-11"/>
          <w:w w:val="105"/>
          <w:sz w:val="24"/>
        </w:rPr>
        <w:t xml:space="preserve">议答复期间不计算在第 </w:t>
      </w:r>
      <w:r>
        <w:rPr>
          <w:w w:val="105"/>
          <w:sz w:val="24"/>
        </w:rPr>
        <w:t>8.5.1</w:t>
      </w:r>
      <w:r>
        <w:rPr>
          <w:spacing w:val="-8"/>
          <w:w w:val="105"/>
          <w:sz w:val="24"/>
        </w:rPr>
        <w:t xml:space="preserve"> 项规定的期限内。</w:t>
      </w:r>
    </w:p>
    <w:p>
      <w:pPr>
        <w:pStyle w:val="5"/>
        <w:spacing w:before="2"/>
        <w:ind w:left="0"/>
        <w:rPr>
          <w:sz w:val="20"/>
        </w:rPr>
      </w:pPr>
    </w:p>
    <w:p>
      <w:pPr>
        <w:pStyle w:val="4"/>
        <w:numPr>
          <w:ilvl w:val="0"/>
          <w:numId w:val="20"/>
        </w:numPr>
        <w:tabs>
          <w:tab w:val="left" w:pos="785"/>
        </w:tabs>
        <w:spacing w:before="0" w:after="0" w:line="240" w:lineRule="auto"/>
        <w:ind w:left="784" w:right="0" w:hanging="245"/>
        <w:jc w:val="left"/>
      </w:pPr>
      <w:bookmarkStart w:id="103" w:name="9.是否采用电子招标投标"/>
      <w:bookmarkEnd w:id="103"/>
      <w:bookmarkStart w:id="104" w:name="9.是否采用电子招标投标"/>
      <w:bookmarkEnd w:id="104"/>
      <w:r>
        <w:t>是否采用电子招标投标</w:t>
      </w:r>
    </w:p>
    <w:p>
      <w:pPr>
        <w:pStyle w:val="5"/>
        <w:ind w:left="0"/>
        <w:rPr>
          <w:b/>
        </w:rPr>
      </w:pPr>
    </w:p>
    <w:p>
      <w:pPr>
        <w:spacing w:before="184" w:line="566" w:lineRule="auto"/>
        <w:ind w:left="540" w:right="2297" w:firstLine="633"/>
        <w:jc w:val="left"/>
        <w:rPr>
          <w:b/>
          <w:sz w:val="24"/>
        </w:rPr>
      </w:pPr>
      <w:r>
        <w:rPr>
          <w:spacing w:val="-10"/>
          <w:sz w:val="24"/>
        </w:rPr>
        <w:t>本招标项目是否采用电子招标投标方式，见投标人须知前附表。</w:t>
      </w:r>
      <w:bookmarkStart w:id="105" w:name="10.需要补充的其他内容"/>
      <w:bookmarkEnd w:id="105"/>
      <w:r>
        <w:rPr>
          <w:b/>
          <w:spacing w:val="-10"/>
          <w:w w:val="105"/>
          <w:sz w:val="24"/>
        </w:rPr>
        <w:t>10.需要补充的其他内容</w:t>
      </w:r>
    </w:p>
    <w:p>
      <w:pPr>
        <w:pStyle w:val="5"/>
        <w:spacing w:before="75" w:line="364" w:lineRule="auto"/>
        <w:ind w:right="934" w:firstLine="480"/>
        <w:jc w:val="both"/>
      </w:pPr>
      <w:r>
        <w:t>10.1</w:t>
      </w:r>
      <w:r>
        <w:rPr>
          <w:spacing w:val="-4"/>
        </w:rPr>
        <w:t xml:space="preserve"> 自购买招标文件之日起，投标人应保证其提供的联系方式</w:t>
      </w:r>
      <w:r>
        <w:t>（</w:t>
      </w:r>
      <w:r>
        <w:rPr>
          <w:spacing w:val="-12"/>
        </w:rPr>
        <w:t>电话、传真、电</w:t>
      </w:r>
      <w:r>
        <w:t>子邮件）一直有效，以便及时收到招标人发出的函件（招标文件的澄清、修改等</w:t>
      </w:r>
      <w:r>
        <w:rPr>
          <w:spacing w:val="-8"/>
        </w:rPr>
        <w:t xml:space="preserve">）， </w:t>
      </w:r>
      <w:r>
        <w:t>并应及时向招标人反馈信息，否则招标人不承担由此引起的一切后果。</w:t>
      </w:r>
    </w:p>
    <w:p>
      <w:pPr>
        <w:pStyle w:val="5"/>
        <w:spacing w:line="307" w:lineRule="exact"/>
        <w:ind w:left="1174"/>
      </w:pPr>
      <w:r>
        <w:t>需要补充的其他内容：见投标人须知前附表。</w:t>
      </w:r>
    </w:p>
    <w:p>
      <w:pPr>
        <w:spacing w:after="0" w:line="307" w:lineRule="exact"/>
        <w:sectPr>
          <w:pgSz w:w="11910" w:h="16840"/>
          <w:pgMar w:top="1380" w:right="720" w:bottom="1080" w:left="820" w:header="746" w:footer="891" w:gutter="0"/>
          <w:cols w:space="720" w:num="1"/>
        </w:sectPr>
      </w:pPr>
    </w:p>
    <w:p>
      <w:pPr>
        <w:pStyle w:val="5"/>
        <w:ind w:left="0"/>
        <w:rPr>
          <w:sz w:val="20"/>
        </w:rPr>
      </w:pPr>
    </w:p>
    <w:p>
      <w:pPr>
        <w:pStyle w:val="5"/>
        <w:spacing w:before="6"/>
        <w:ind w:left="0"/>
        <w:rPr>
          <w:sz w:val="17"/>
        </w:rPr>
      </w:pPr>
    </w:p>
    <w:p>
      <w:pPr>
        <w:pStyle w:val="5"/>
        <w:ind w:left="965"/>
        <w:rPr>
          <w:rFonts w:hint="eastAsia" w:ascii="黑体" w:eastAsia="黑体"/>
        </w:rPr>
      </w:pPr>
      <w:r>
        <w:rPr>
          <w:rFonts w:hint="eastAsia" w:ascii="黑体" w:eastAsia="黑体"/>
        </w:rPr>
        <w:t>附件一 问题澄清通知</w:t>
      </w:r>
    </w:p>
    <w:p>
      <w:pPr>
        <w:pStyle w:val="5"/>
        <w:ind w:left="0"/>
        <w:rPr>
          <w:rFonts w:ascii="黑体"/>
          <w:sz w:val="20"/>
        </w:rPr>
      </w:pPr>
    </w:p>
    <w:p>
      <w:pPr>
        <w:pStyle w:val="5"/>
        <w:ind w:left="0"/>
        <w:rPr>
          <w:rFonts w:ascii="黑体"/>
          <w:sz w:val="20"/>
        </w:rPr>
      </w:pPr>
    </w:p>
    <w:p>
      <w:pPr>
        <w:pStyle w:val="5"/>
        <w:spacing w:before="2"/>
        <w:ind w:left="0"/>
        <w:rPr>
          <w:rFonts w:ascii="黑体"/>
          <w:sz w:val="19"/>
        </w:rPr>
      </w:pPr>
    </w:p>
    <w:p>
      <w:pPr>
        <w:pStyle w:val="3"/>
        <w:spacing w:before="61"/>
        <w:ind w:left="303"/>
        <w:rPr>
          <w:rFonts w:hint="eastAsia" w:ascii="黑体" w:eastAsia="黑体"/>
        </w:rPr>
      </w:pPr>
      <w:r>
        <w:rPr>
          <w:rFonts w:hint="eastAsia" w:ascii="黑体" w:eastAsia="黑体"/>
        </w:rPr>
        <w:t>问题澄清通知</w:t>
      </w:r>
    </w:p>
    <w:p>
      <w:pPr>
        <w:tabs>
          <w:tab w:val="left" w:pos="2939"/>
        </w:tabs>
        <w:spacing w:before="137"/>
        <w:ind w:left="0" w:right="62" w:firstLine="0"/>
        <w:jc w:val="center"/>
        <w:rPr>
          <w:rFonts w:hint="eastAsia" w:ascii="等线" w:eastAsia="等线"/>
          <w:sz w:val="21"/>
        </w:rPr>
      </w:pPr>
      <w:r>
        <w:rPr>
          <w:rFonts w:hint="eastAsia" w:ascii="等线" w:eastAsia="等线"/>
          <w:sz w:val="21"/>
        </w:rPr>
        <w:t>（编</w:t>
      </w:r>
      <w:r>
        <w:rPr>
          <w:rFonts w:hint="eastAsia" w:ascii="等线" w:eastAsia="等线"/>
          <w:spacing w:val="-5"/>
          <w:sz w:val="21"/>
        </w:rPr>
        <w:t>号</w:t>
      </w:r>
      <w:r>
        <w:rPr>
          <w:rFonts w:hint="eastAsia" w:ascii="等线" w:eastAsia="等线"/>
          <w:sz w:val="21"/>
        </w:rPr>
        <w:t>：</w:t>
      </w:r>
      <w:r>
        <w:rPr>
          <w:rFonts w:hint="eastAsia" w:ascii="等线" w:eastAsia="等线"/>
          <w:sz w:val="21"/>
          <w:u w:val="single"/>
        </w:rPr>
        <w:t xml:space="preserve"> </w:t>
      </w:r>
      <w:r>
        <w:rPr>
          <w:rFonts w:hint="eastAsia" w:ascii="等线" w:eastAsia="等线"/>
          <w:sz w:val="21"/>
          <w:u w:val="single"/>
        </w:rPr>
        <w:tab/>
      </w:r>
      <w:r>
        <w:rPr>
          <w:rFonts w:hint="eastAsia" w:ascii="等线" w:eastAsia="等线"/>
          <w:sz w:val="21"/>
        </w:rPr>
        <w:t>）</w:t>
      </w:r>
    </w:p>
    <w:p>
      <w:pPr>
        <w:pStyle w:val="5"/>
        <w:ind w:left="0"/>
        <w:rPr>
          <w:rFonts w:ascii="等线"/>
          <w:sz w:val="20"/>
        </w:rPr>
      </w:pPr>
    </w:p>
    <w:p>
      <w:pPr>
        <w:pStyle w:val="5"/>
        <w:spacing w:before="13"/>
        <w:ind w:left="0"/>
        <w:rPr>
          <w:rFonts w:ascii="等线"/>
          <w:sz w:val="28"/>
        </w:rPr>
      </w:pPr>
    </w:p>
    <w:p>
      <w:pPr>
        <w:pStyle w:val="5"/>
        <w:tabs>
          <w:tab w:val="left" w:pos="2765"/>
        </w:tabs>
        <w:spacing w:before="64"/>
        <w:ind w:left="965"/>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rPr>
        <w:t>（投标人名称</w:t>
      </w:r>
      <w:r>
        <w:rPr>
          <w:rFonts w:hint="eastAsia" w:ascii="等线" w:eastAsia="等线"/>
          <w:spacing w:val="-240"/>
        </w:rPr>
        <w:t>：</w:t>
      </w:r>
      <w:r>
        <w:rPr>
          <w:rFonts w:hint="eastAsia" w:ascii="等线" w:eastAsia="等线"/>
        </w:rPr>
        <w:t>）</w:t>
      </w:r>
    </w:p>
    <w:p>
      <w:pPr>
        <w:pStyle w:val="5"/>
        <w:ind w:left="0"/>
        <w:rPr>
          <w:rFonts w:ascii="等线"/>
          <w:sz w:val="20"/>
        </w:rPr>
      </w:pPr>
    </w:p>
    <w:p>
      <w:pPr>
        <w:pStyle w:val="5"/>
        <w:ind w:left="0"/>
        <w:rPr>
          <w:rFonts w:ascii="等线"/>
          <w:sz w:val="20"/>
        </w:rPr>
      </w:pPr>
    </w:p>
    <w:p>
      <w:pPr>
        <w:pStyle w:val="5"/>
        <w:spacing w:before="1"/>
        <w:ind w:left="0"/>
        <w:rPr>
          <w:rFonts w:ascii="等线"/>
          <w:sz w:val="13"/>
        </w:rPr>
      </w:pPr>
    </w:p>
    <w:p>
      <w:pPr>
        <w:pStyle w:val="5"/>
        <w:tabs>
          <w:tab w:val="left" w:pos="3556"/>
          <w:tab w:val="left" w:pos="6027"/>
        </w:tabs>
        <w:spacing w:before="64" w:line="309" w:lineRule="auto"/>
        <w:ind w:left="965" w:right="901" w:firstLine="722"/>
        <w:jc w:val="both"/>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ascii="Times New Roman" w:eastAsia="Times New Roman"/>
        </w:rPr>
        <w:t xml:space="preserve"> </w:t>
      </w:r>
      <w:r>
        <w:rPr>
          <w:rFonts w:hint="eastAsia" w:ascii="等线" w:eastAsia="等线"/>
        </w:rPr>
        <w:t>（项目名称）</w:t>
      </w:r>
      <w:r>
        <w:rPr>
          <w:rFonts w:hint="eastAsia" w:ascii="等线" w:eastAsia="等线"/>
          <w:u w:val="single"/>
        </w:rPr>
        <w:t xml:space="preserve"> </w:t>
      </w:r>
      <w:r>
        <w:rPr>
          <w:rFonts w:hint="eastAsia" w:ascii="等线" w:eastAsia="等线"/>
          <w:u w:val="single"/>
        </w:rPr>
        <w:tab/>
      </w:r>
      <w:r>
        <w:rPr>
          <w:rFonts w:hint="eastAsia" w:ascii="等线" w:eastAsia="等线"/>
          <w:spacing w:val="4"/>
        </w:rPr>
        <w:t>标</w:t>
      </w:r>
      <w:r>
        <w:rPr>
          <w:rFonts w:hint="eastAsia" w:ascii="等线" w:eastAsia="等线"/>
          <w:spacing w:val="7"/>
        </w:rPr>
        <w:t>段</w:t>
      </w:r>
      <w:r>
        <w:rPr>
          <w:rFonts w:hint="eastAsia" w:ascii="等线" w:eastAsia="等线"/>
          <w:spacing w:val="4"/>
        </w:rPr>
        <w:t>施</w:t>
      </w:r>
      <w:r>
        <w:rPr>
          <w:rFonts w:hint="eastAsia" w:ascii="等线" w:eastAsia="等线"/>
          <w:spacing w:val="7"/>
        </w:rPr>
        <w:t>工</w:t>
      </w:r>
      <w:r>
        <w:rPr>
          <w:rFonts w:hint="eastAsia" w:ascii="等线" w:eastAsia="等线"/>
          <w:spacing w:val="4"/>
        </w:rPr>
        <w:t>招</w:t>
      </w:r>
      <w:r>
        <w:rPr>
          <w:rFonts w:hint="eastAsia" w:ascii="等线" w:eastAsia="等线"/>
          <w:spacing w:val="7"/>
        </w:rPr>
        <w:t>标</w:t>
      </w:r>
      <w:r>
        <w:rPr>
          <w:rFonts w:hint="eastAsia" w:ascii="等线" w:eastAsia="等线"/>
          <w:spacing w:val="4"/>
        </w:rPr>
        <w:t>的</w:t>
      </w:r>
      <w:r>
        <w:rPr>
          <w:rFonts w:hint="eastAsia" w:ascii="等线" w:eastAsia="等线"/>
          <w:spacing w:val="7"/>
        </w:rPr>
        <w:t>评</w:t>
      </w:r>
      <w:r>
        <w:rPr>
          <w:rFonts w:hint="eastAsia" w:ascii="等线" w:eastAsia="等线"/>
          <w:spacing w:val="4"/>
        </w:rPr>
        <w:t>标</w:t>
      </w:r>
      <w:r>
        <w:rPr>
          <w:rFonts w:hint="eastAsia" w:ascii="等线" w:eastAsia="等线"/>
          <w:spacing w:val="7"/>
        </w:rPr>
        <w:t>委</w:t>
      </w:r>
      <w:r>
        <w:rPr>
          <w:rFonts w:hint="eastAsia" w:ascii="等线" w:eastAsia="等线"/>
          <w:spacing w:val="4"/>
        </w:rPr>
        <w:t>员</w:t>
      </w:r>
      <w:r>
        <w:rPr>
          <w:rFonts w:hint="eastAsia" w:ascii="等线" w:eastAsia="等线"/>
          <w:spacing w:val="7"/>
        </w:rPr>
        <w:t>会</w:t>
      </w:r>
      <w:r>
        <w:rPr>
          <w:rFonts w:hint="eastAsia" w:ascii="等线" w:eastAsia="等线"/>
          <w:spacing w:val="4"/>
        </w:rPr>
        <w:t>，</w:t>
      </w:r>
      <w:r>
        <w:rPr>
          <w:rFonts w:hint="eastAsia" w:ascii="等线" w:eastAsia="等线"/>
          <w:spacing w:val="-11"/>
        </w:rPr>
        <w:t>对</w:t>
      </w:r>
      <w:r>
        <w:rPr>
          <w:rFonts w:hint="eastAsia" w:ascii="等线" w:eastAsia="等线"/>
        </w:rPr>
        <w:t>你方的投标文件进行了仔细的审查</w:t>
      </w:r>
      <w:r>
        <w:rPr>
          <w:rFonts w:hint="eastAsia" w:ascii="等线" w:eastAsia="等线"/>
          <w:spacing w:val="-166"/>
        </w:rPr>
        <w:t>，</w:t>
      </w:r>
      <w:r>
        <w:rPr>
          <w:rFonts w:hint="eastAsia" w:ascii="等线" w:eastAsia="等线"/>
        </w:rPr>
        <w:t>现需你方对下列问题以书面形式予以澄清或</w:t>
      </w:r>
      <w:r>
        <w:rPr>
          <w:rFonts w:hint="eastAsia" w:ascii="等线" w:eastAsia="等线"/>
          <w:spacing w:val="-13"/>
        </w:rPr>
        <w:t>说</w:t>
      </w:r>
      <w:r>
        <w:rPr>
          <w:rFonts w:hint="eastAsia" w:ascii="等线" w:eastAsia="等线"/>
        </w:rPr>
        <w:t>明：</w:t>
      </w:r>
    </w:p>
    <w:p>
      <w:pPr>
        <w:pStyle w:val="5"/>
        <w:ind w:left="0"/>
        <w:rPr>
          <w:rFonts w:ascii="等线"/>
        </w:rPr>
      </w:pPr>
    </w:p>
    <w:p>
      <w:pPr>
        <w:pStyle w:val="5"/>
        <w:spacing w:before="5"/>
        <w:ind w:left="0"/>
        <w:rPr>
          <w:rFonts w:ascii="等线"/>
          <w:sz w:val="15"/>
        </w:rPr>
      </w:pPr>
    </w:p>
    <w:p>
      <w:pPr>
        <w:pStyle w:val="5"/>
        <w:ind w:left="1445"/>
        <w:rPr>
          <w:rFonts w:ascii="Times New Roman"/>
        </w:rPr>
      </w:pPr>
      <w:r>
        <w:rPr>
          <w:rFonts w:ascii="Times New Roman"/>
        </w:rPr>
        <w:t>1.</w:t>
      </w:r>
    </w:p>
    <w:p>
      <w:pPr>
        <w:pStyle w:val="5"/>
        <w:spacing w:before="166"/>
        <w:ind w:left="1445"/>
        <w:rPr>
          <w:rFonts w:ascii="Times New Roman"/>
        </w:rPr>
      </w:pPr>
      <w:r>
        <w:rPr>
          <w:rFonts w:ascii="Times New Roman"/>
        </w:rPr>
        <w:t>2.</w:t>
      </w:r>
    </w:p>
    <w:p>
      <w:pPr>
        <w:pStyle w:val="5"/>
        <w:spacing w:before="163"/>
        <w:ind w:left="1565"/>
        <w:rPr>
          <w:rFonts w:ascii="Times New Roman"/>
        </w:rPr>
      </w:pPr>
      <w:r>
        <w:rPr>
          <w:rFonts w:ascii="Times New Roman"/>
        </w:rPr>
        <w:t>......</w:t>
      </w:r>
    </w:p>
    <w:p>
      <w:pPr>
        <w:pStyle w:val="5"/>
        <w:ind w:left="0"/>
        <w:rPr>
          <w:rFonts w:ascii="Times New Roman"/>
          <w:sz w:val="26"/>
        </w:rPr>
      </w:pPr>
    </w:p>
    <w:p>
      <w:pPr>
        <w:pStyle w:val="5"/>
        <w:spacing w:before="3"/>
        <w:ind w:left="0"/>
        <w:rPr>
          <w:rFonts w:ascii="Times New Roman"/>
          <w:sz w:val="22"/>
        </w:rPr>
      </w:pPr>
    </w:p>
    <w:p>
      <w:pPr>
        <w:pStyle w:val="5"/>
        <w:spacing w:line="309" w:lineRule="auto"/>
        <w:ind w:left="965" w:right="1022" w:firstLine="477"/>
        <w:jc w:val="both"/>
        <w:rPr>
          <w:rFonts w:hint="eastAsia" w:ascii="等线" w:eastAsia="等线"/>
        </w:rPr>
      </w:pPr>
      <w:r>
        <w:rPr>
          <w:rFonts w:hint="eastAsia" w:ascii="等线" w:eastAsia="等线"/>
        </w:rPr>
        <w:t>请将上述问题的澄清或说明于</w:t>
      </w:r>
      <w:r>
        <w:rPr>
          <w:rFonts w:hint="eastAsia" w:ascii="等线" w:eastAsia="等线"/>
          <w:spacing w:val="6"/>
          <w:u w:val="single"/>
        </w:rPr>
        <w:t xml:space="preserve">     </w:t>
      </w:r>
      <w:r>
        <w:rPr>
          <w:rFonts w:hint="eastAsia" w:ascii="等线" w:eastAsia="等线"/>
        </w:rPr>
        <w:t>年</w:t>
      </w:r>
      <w:r>
        <w:rPr>
          <w:rFonts w:hint="eastAsia" w:ascii="等线" w:eastAsia="等线"/>
          <w:spacing w:val="7"/>
          <w:u w:val="single"/>
        </w:rPr>
        <w:t xml:space="preserve">     </w:t>
      </w:r>
      <w:r>
        <w:rPr>
          <w:rFonts w:hint="eastAsia" w:ascii="等线" w:eastAsia="等线"/>
        </w:rPr>
        <w:t>月</w:t>
      </w:r>
      <w:r>
        <w:rPr>
          <w:rFonts w:hint="eastAsia" w:ascii="等线" w:eastAsia="等线"/>
          <w:spacing w:val="7"/>
          <w:u w:val="single"/>
        </w:rPr>
        <w:t xml:space="preserve">     </w:t>
      </w:r>
      <w:r>
        <w:rPr>
          <w:rFonts w:hint="eastAsia" w:ascii="等线" w:eastAsia="等线"/>
        </w:rPr>
        <w:t>日</w:t>
      </w:r>
      <w:r>
        <w:rPr>
          <w:rFonts w:hint="eastAsia" w:ascii="等线" w:eastAsia="等线"/>
          <w:spacing w:val="7"/>
          <w:u w:val="single"/>
        </w:rPr>
        <w:t xml:space="preserve">     </w:t>
      </w:r>
      <w:r>
        <w:rPr>
          <w:rFonts w:hint="eastAsia" w:ascii="等线" w:eastAsia="等线"/>
        </w:rPr>
        <w:t>时</w:t>
      </w:r>
      <w:r>
        <w:rPr>
          <w:rFonts w:hint="eastAsia" w:ascii="等线" w:eastAsia="等线"/>
          <w:spacing w:val="7"/>
          <w:u w:val="single"/>
        </w:rPr>
        <w:t xml:space="preserve">     </w:t>
      </w:r>
      <w:r>
        <w:rPr>
          <w:rFonts w:hint="eastAsia" w:ascii="等线" w:eastAsia="等线"/>
        </w:rPr>
        <w:t>分前递交至</w:t>
      </w:r>
      <w:r>
        <w:rPr>
          <w:rFonts w:hint="eastAsia" w:ascii="等线" w:eastAsia="等线"/>
          <w:spacing w:val="6"/>
          <w:u w:val="single"/>
        </w:rPr>
        <w:t xml:space="preserve">     </w:t>
      </w:r>
      <w:r>
        <w:rPr>
          <w:rFonts w:hint="eastAsia" w:ascii="等线" w:eastAsia="等线"/>
          <w:spacing w:val="-11"/>
          <w:u w:val="single"/>
        </w:rPr>
        <w:t xml:space="preserve">（ </w:t>
      </w:r>
      <w:r>
        <w:rPr>
          <w:rFonts w:hint="eastAsia" w:ascii="等线" w:eastAsia="等线"/>
          <w:spacing w:val="-9"/>
        </w:rPr>
        <w:t>详细地址</w:t>
      </w:r>
      <w:r>
        <w:rPr>
          <w:rFonts w:hint="eastAsia" w:ascii="等线" w:eastAsia="等线"/>
          <w:spacing w:val="-58"/>
        </w:rPr>
        <w:t>）</w:t>
      </w:r>
      <w:r>
        <w:rPr>
          <w:rFonts w:hint="eastAsia" w:ascii="等线" w:eastAsia="等线"/>
        </w:rPr>
        <w:t>或传真至</w:t>
      </w:r>
      <w:r>
        <w:rPr>
          <w:rFonts w:hint="eastAsia" w:ascii="等线" w:eastAsia="等线"/>
          <w:spacing w:val="6"/>
          <w:u w:val="single"/>
        </w:rPr>
        <w:t xml:space="preserve">      </w:t>
      </w:r>
      <w:r>
        <w:rPr>
          <w:rFonts w:hint="eastAsia" w:ascii="等线" w:eastAsia="等线"/>
        </w:rPr>
        <w:t>（传真号码</w:t>
      </w:r>
      <w:r>
        <w:rPr>
          <w:rFonts w:hint="eastAsia" w:ascii="等线" w:eastAsia="等线"/>
          <w:spacing w:val="-84"/>
        </w:rPr>
        <w:t>）</w:t>
      </w:r>
      <w:r>
        <w:rPr>
          <w:rFonts w:hint="eastAsia" w:ascii="等线" w:eastAsia="等线"/>
          <w:spacing w:val="-1"/>
        </w:rPr>
        <w:t>或通过下载招标文件的电子招标交易平台</w:t>
      </w:r>
      <w:r>
        <w:rPr>
          <w:rFonts w:hint="eastAsia" w:ascii="等线" w:eastAsia="等线"/>
          <w:spacing w:val="11"/>
        </w:rPr>
        <w:t>上传</w:t>
      </w:r>
      <w:r>
        <w:rPr>
          <w:rFonts w:hint="eastAsia" w:ascii="等线" w:eastAsia="等线"/>
          <w:spacing w:val="-2"/>
        </w:rPr>
        <w:t>。采用传真方式的</w:t>
      </w:r>
      <w:r>
        <w:rPr>
          <w:rFonts w:hint="eastAsia" w:ascii="等线" w:eastAsia="等线"/>
          <w:spacing w:val="-46"/>
        </w:rPr>
        <w:t>，应在</w:t>
      </w:r>
      <w:r>
        <w:rPr>
          <w:rFonts w:hint="eastAsia" w:ascii="等线" w:eastAsia="等线"/>
          <w:spacing w:val="101"/>
          <w:u w:val="single"/>
        </w:rPr>
        <w:t xml:space="preserve"> </w:t>
      </w:r>
      <w:r>
        <w:rPr>
          <w:rFonts w:hint="eastAsia" w:ascii="等线" w:eastAsia="等线"/>
          <w:spacing w:val="24"/>
        </w:rPr>
        <w:t>年</w:t>
      </w:r>
      <w:r>
        <w:rPr>
          <w:rFonts w:hint="eastAsia" w:ascii="等线" w:eastAsia="等线"/>
          <w:spacing w:val="106"/>
          <w:u w:val="single"/>
        </w:rPr>
        <w:t xml:space="preserve"> </w:t>
      </w:r>
      <w:r>
        <w:rPr>
          <w:rFonts w:hint="eastAsia" w:ascii="等线" w:eastAsia="等线"/>
          <w:spacing w:val="26"/>
        </w:rPr>
        <w:t>月</w:t>
      </w:r>
      <w:r>
        <w:rPr>
          <w:rFonts w:hint="eastAsia" w:ascii="等线" w:eastAsia="等线"/>
          <w:spacing w:val="98"/>
          <w:u w:val="single"/>
        </w:rPr>
        <w:t xml:space="preserve"> </w:t>
      </w:r>
      <w:r>
        <w:rPr>
          <w:rFonts w:hint="eastAsia" w:ascii="等线" w:eastAsia="等线"/>
          <w:spacing w:val="28"/>
        </w:rPr>
        <w:t>日</w:t>
      </w:r>
      <w:r>
        <w:rPr>
          <w:rFonts w:hint="eastAsia" w:ascii="等线" w:eastAsia="等线"/>
          <w:spacing w:val="89"/>
          <w:u w:val="single"/>
        </w:rPr>
        <w:t xml:space="preserve"> </w:t>
      </w:r>
      <w:r>
        <w:rPr>
          <w:rFonts w:hint="eastAsia" w:ascii="等线" w:eastAsia="等线"/>
          <w:spacing w:val="28"/>
        </w:rPr>
        <w:t>时</w:t>
      </w:r>
      <w:r>
        <w:rPr>
          <w:rFonts w:hint="eastAsia" w:ascii="等线" w:eastAsia="等线"/>
          <w:spacing w:val="92"/>
          <w:u w:val="single"/>
        </w:rPr>
        <w:t xml:space="preserve"> </w:t>
      </w:r>
      <w:r>
        <w:rPr>
          <w:rFonts w:hint="eastAsia" w:ascii="等线" w:eastAsia="等线"/>
          <w:spacing w:val="22"/>
        </w:rPr>
        <w:t>分前将原件递交至</w:t>
      </w:r>
    </w:p>
    <w:p>
      <w:pPr>
        <w:pStyle w:val="5"/>
        <w:tabs>
          <w:tab w:val="left" w:pos="3667"/>
        </w:tabs>
        <w:spacing w:line="357" w:lineRule="exact"/>
        <w:ind w:left="965"/>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u w:val="single"/>
        </w:rPr>
        <w:t>（</w:t>
      </w:r>
      <w:r>
        <w:rPr>
          <w:rFonts w:hint="eastAsia" w:ascii="等线" w:eastAsia="等线"/>
          <w:spacing w:val="-9"/>
        </w:rPr>
        <w:t>详细地址</w:t>
      </w:r>
      <w:r>
        <w:rPr>
          <w:rFonts w:hint="eastAsia" w:ascii="等线" w:eastAsia="等线"/>
          <w:spacing w:val="-240"/>
        </w:rPr>
        <w:t>）</w:t>
      </w:r>
      <w:r>
        <w:rPr>
          <w:rFonts w:hint="eastAsia" w:ascii="等线" w:eastAsia="等线"/>
        </w:rPr>
        <w:t>。</w:t>
      </w:r>
    </w:p>
    <w:p>
      <w:pPr>
        <w:pStyle w:val="5"/>
        <w:ind w:left="0"/>
        <w:rPr>
          <w:rFonts w:ascii="等线"/>
          <w:sz w:val="26"/>
        </w:rPr>
      </w:pPr>
    </w:p>
    <w:p>
      <w:pPr>
        <w:pStyle w:val="5"/>
        <w:ind w:left="0"/>
        <w:rPr>
          <w:rFonts w:ascii="等线"/>
          <w:sz w:val="26"/>
        </w:rPr>
      </w:pPr>
    </w:p>
    <w:p>
      <w:pPr>
        <w:pStyle w:val="5"/>
        <w:tabs>
          <w:tab w:val="left" w:pos="7481"/>
        </w:tabs>
        <w:spacing w:before="216"/>
        <w:ind w:left="1961"/>
        <w:rPr>
          <w:rFonts w:hint="eastAsia" w:ascii="等线" w:eastAsia="等线"/>
        </w:rPr>
      </w:pPr>
      <w:r>
        <w:rPr>
          <w:rFonts w:hint="eastAsia" w:ascii="等线" w:eastAsia="等线"/>
        </w:rPr>
        <w:t>评标委员会授权的招标人或招标代理机构：</w:t>
      </w:r>
      <w:r>
        <w:rPr>
          <w:rFonts w:hint="eastAsia" w:ascii="等线" w:eastAsia="等线"/>
          <w:u w:val="single"/>
        </w:rPr>
        <w:t xml:space="preserve"> </w:t>
      </w:r>
      <w:r>
        <w:rPr>
          <w:rFonts w:hint="eastAsia" w:ascii="等线" w:eastAsia="等线"/>
          <w:u w:val="single"/>
        </w:rPr>
        <w:tab/>
      </w:r>
      <w:r>
        <w:rPr>
          <w:rFonts w:hint="eastAsia" w:ascii="等线" w:eastAsia="等线"/>
        </w:rPr>
        <w:t>（签字或盖单位章）</w:t>
      </w:r>
    </w:p>
    <w:p>
      <w:pPr>
        <w:pStyle w:val="5"/>
        <w:ind w:left="0"/>
        <w:rPr>
          <w:rFonts w:ascii="等线"/>
          <w:sz w:val="20"/>
        </w:rPr>
      </w:pPr>
    </w:p>
    <w:p>
      <w:pPr>
        <w:pStyle w:val="5"/>
        <w:ind w:left="0"/>
        <w:rPr>
          <w:rFonts w:ascii="等线"/>
          <w:sz w:val="20"/>
        </w:rPr>
      </w:pPr>
    </w:p>
    <w:p>
      <w:pPr>
        <w:pStyle w:val="5"/>
        <w:spacing w:before="198"/>
        <w:ind w:left="0" w:right="740"/>
        <w:jc w:val="right"/>
        <w:rPr>
          <w:rFonts w:hint="eastAsia" w:ascii="等线" w:eastAsia="等线"/>
        </w:rPr>
      </w:pPr>
      <w:r>
        <w:rPr>
          <w:rFonts w:ascii="Times New Roman" w:eastAsia="Times New Roman"/>
          <w:u w:val="single"/>
        </w:rPr>
        <w:t xml:space="preserve">  </w:t>
      </w:r>
      <w:r>
        <w:rPr>
          <w:rFonts w:ascii="Times New Roman" w:eastAsia="Times New Roman"/>
          <w:spacing w:val="28"/>
          <w:u w:val="single"/>
        </w:rPr>
        <w:t xml:space="preserve"> </w:t>
      </w:r>
      <w:r>
        <w:rPr>
          <w:rFonts w:hint="eastAsia" w:ascii="等线" w:eastAsia="等线"/>
        </w:rPr>
        <w:t>年</w:t>
      </w:r>
      <w:r>
        <w:rPr>
          <w:rFonts w:hint="eastAsia" w:ascii="等线" w:eastAsia="等线"/>
          <w:u w:val="single"/>
        </w:rPr>
        <w:t xml:space="preserve">   </w:t>
      </w:r>
      <w:r>
        <w:rPr>
          <w:rFonts w:hint="eastAsia" w:ascii="等线" w:eastAsia="等线"/>
        </w:rPr>
        <w:t>月</w:t>
      </w:r>
      <w:r>
        <w:rPr>
          <w:rFonts w:hint="eastAsia" w:ascii="等线" w:eastAsia="等线"/>
          <w:spacing w:val="14"/>
          <w:u w:val="single"/>
        </w:rPr>
        <w:t xml:space="preserve">  </w:t>
      </w:r>
      <w:r>
        <w:rPr>
          <w:rFonts w:hint="eastAsia" w:ascii="等线" w:eastAsia="等线"/>
        </w:rPr>
        <w:t>日</w:t>
      </w:r>
    </w:p>
    <w:p>
      <w:pPr>
        <w:spacing w:after="0"/>
        <w:jc w:val="right"/>
        <w:rPr>
          <w:rFonts w:hint="eastAsia" w:ascii="等线" w:eastAsia="等线"/>
        </w:rPr>
        <w:sectPr>
          <w:pgSz w:w="11910" w:h="16840"/>
          <w:pgMar w:top="1380" w:right="720" w:bottom="1080" w:left="820" w:header="746" w:footer="891" w:gutter="0"/>
          <w:cols w:space="720" w:num="1"/>
        </w:sectPr>
      </w:pPr>
    </w:p>
    <w:p>
      <w:pPr>
        <w:pStyle w:val="5"/>
        <w:spacing w:before="3"/>
        <w:ind w:left="0"/>
        <w:rPr>
          <w:rFonts w:ascii="等线"/>
          <w:sz w:val="26"/>
        </w:rPr>
      </w:pPr>
    </w:p>
    <w:p>
      <w:pPr>
        <w:pStyle w:val="5"/>
        <w:spacing w:before="67"/>
        <w:ind w:left="965"/>
        <w:rPr>
          <w:rFonts w:hint="eastAsia" w:ascii="黑体" w:eastAsia="黑体"/>
        </w:rPr>
      </w:pPr>
      <w:r>
        <w:rPr>
          <w:rFonts w:hint="eastAsia" w:ascii="黑体" w:eastAsia="黑体"/>
        </w:rPr>
        <w:t>附件二 问题澄清</w:t>
      </w:r>
    </w:p>
    <w:p>
      <w:pPr>
        <w:pStyle w:val="5"/>
        <w:ind w:left="0"/>
        <w:rPr>
          <w:rFonts w:ascii="黑体"/>
          <w:sz w:val="20"/>
        </w:rPr>
      </w:pPr>
    </w:p>
    <w:p>
      <w:pPr>
        <w:pStyle w:val="5"/>
        <w:ind w:left="0"/>
        <w:rPr>
          <w:rFonts w:ascii="黑体"/>
          <w:sz w:val="20"/>
        </w:rPr>
      </w:pPr>
    </w:p>
    <w:p>
      <w:pPr>
        <w:pStyle w:val="5"/>
        <w:spacing w:before="1"/>
        <w:ind w:left="0"/>
        <w:rPr>
          <w:rFonts w:ascii="黑体"/>
          <w:sz w:val="19"/>
        </w:rPr>
      </w:pPr>
    </w:p>
    <w:p>
      <w:pPr>
        <w:pStyle w:val="3"/>
        <w:ind w:left="300"/>
        <w:rPr>
          <w:rFonts w:hint="eastAsia" w:ascii="黑体" w:eastAsia="黑体"/>
        </w:rPr>
      </w:pPr>
      <w:r>
        <w:rPr>
          <w:rFonts w:hint="eastAsia" w:ascii="黑体" w:eastAsia="黑体"/>
        </w:rPr>
        <w:t>问题澄清</w:t>
      </w:r>
    </w:p>
    <w:p>
      <w:pPr>
        <w:tabs>
          <w:tab w:val="left" w:pos="2939"/>
        </w:tabs>
        <w:spacing w:before="137"/>
        <w:ind w:left="0" w:right="62" w:firstLine="0"/>
        <w:jc w:val="center"/>
        <w:rPr>
          <w:rFonts w:hint="eastAsia" w:ascii="等线" w:eastAsia="等线"/>
          <w:sz w:val="21"/>
        </w:rPr>
      </w:pPr>
      <w:r>
        <w:rPr>
          <w:rFonts w:hint="eastAsia" w:ascii="等线" w:eastAsia="等线"/>
          <w:sz w:val="21"/>
        </w:rPr>
        <w:t>（编</w:t>
      </w:r>
      <w:r>
        <w:rPr>
          <w:rFonts w:hint="eastAsia" w:ascii="等线" w:eastAsia="等线"/>
          <w:spacing w:val="-5"/>
          <w:sz w:val="21"/>
        </w:rPr>
        <w:t>号</w:t>
      </w:r>
      <w:r>
        <w:rPr>
          <w:rFonts w:hint="eastAsia" w:ascii="等线" w:eastAsia="等线"/>
          <w:sz w:val="21"/>
        </w:rPr>
        <w:t>：</w:t>
      </w:r>
      <w:r>
        <w:rPr>
          <w:rFonts w:hint="eastAsia" w:ascii="等线" w:eastAsia="等线"/>
          <w:sz w:val="21"/>
          <w:u w:val="single"/>
        </w:rPr>
        <w:t xml:space="preserve"> </w:t>
      </w:r>
      <w:r>
        <w:rPr>
          <w:rFonts w:hint="eastAsia" w:ascii="等线" w:eastAsia="等线"/>
          <w:sz w:val="21"/>
          <w:u w:val="single"/>
        </w:rPr>
        <w:tab/>
      </w:r>
      <w:r>
        <w:rPr>
          <w:rFonts w:hint="eastAsia" w:ascii="等线" w:eastAsia="等线"/>
          <w:sz w:val="21"/>
        </w:rPr>
        <w:t>）</w:t>
      </w:r>
    </w:p>
    <w:p>
      <w:pPr>
        <w:pStyle w:val="5"/>
        <w:spacing w:before="6"/>
        <w:ind w:left="0"/>
        <w:rPr>
          <w:rFonts w:ascii="等线"/>
          <w:sz w:val="28"/>
        </w:rPr>
      </w:pPr>
    </w:p>
    <w:p>
      <w:pPr>
        <w:pStyle w:val="5"/>
        <w:tabs>
          <w:tab w:val="left" w:pos="3599"/>
          <w:tab w:val="left" w:pos="5340"/>
          <w:tab w:val="left" w:pos="5580"/>
        </w:tabs>
        <w:spacing w:before="64" w:line="331" w:lineRule="auto"/>
        <w:ind w:left="1020" w:right="1664" w:hanging="1"/>
        <w:rPr>
          <w:rFonts w:ascii="Calibri" w:eastAsia="Calibri"/>
        </w:rPr>
      </w:pPr>
      <w:r>
        <mc:AlternateContent>
          <mc:Choice Requires="wps">
            <w:drawing>
              <wp:anchor distT="0" distB="0" distL="114300" distR="114300" simplePos="0" relativeHeight="251676672" behindDoc="1" locked="0" layoutInCell="1" allowOverlap="1">
                <wp:simplePos x="0" y="0"/>
                <wp:positionH relativeFrom="page">
                  <wp:posOffset>2692400</wp:posOffset>
                </wp:positionH>
                <wp:positionV relativeFrom="paragraph">
                  <wp:posOffset>532130</wp:posOffset>
                </wp:positionV>
                <wp:extent cx="1219200" cy="0"/>
                <wp:effectExtent l="0" t="0" r="0" b="0"/>
                <wp:wrapNone/>
                <wp:docPr id="6" name="直线 21"/>
                <wp:cNvGraphicFramePr/>
                <a:graphic xmlns:a="http://schemas.openxmlformats.org/drawingml/2006/main">
                  <a:graphicData uri="http://schemas.microsoft.com/office/word/2010/wordprocessingShape">
                    <wps:wsp>
                      <wps:cNvCnPr/>
                      <wps:spPr>
                        <a:xfrm>
                          <a:off x="0" y="0"/>
                          <a:ext cx="1219200" cy="0"/>
                        </a:xfrm>
                        <a:prstGeom prst="line">
                          <a:avLst/>
                        </a:prstGeom>
                        <a:ln w="10668"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212pt;margin-top:41.9pt;height:0pt;width:96pt;mso-position-horizontal-relative:page;z-index:-251639808;mso-width-relative:page;mso-height-relative:page;" filled="f" stroked="t" coordsize="21600,21600" o:gfxdata="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VlpcNgA&#10;AAAJAQAADwAAAAAAAAABACAAAAAiAAAAZHJzL2Rvd25yZXYueG1sUEsBAhQAFAAAAAgAh07iQNQf&#10;VormAQAA3QMAAA4AAAAAAAAAAQAgAAAAJwEAAGRycy9lMm9Eb2MueG1sUEsFBgAAAAAGAAYAWQEA&#10;AH8FAAAAAA==&#10;">
                <v:fill on="f" focussize="0,0"/>
                <v:stroke weight="0.84pt" color="#000000" joinstyle="round"/>
                <v:imagedata o:title=""/>
                <o:lock v:ext="edit" aspectratio="f"/>
              </v:line>
            </w:pict>
          </mc:Fallback>
        </mc:AlternateContent>
      </w:r>
      <w:r>
        <w:rPr>
          <w:rFonts w:ascii="Times New Roman" w:eastAsia="Times New Roman"/>
          <w:u w:val="single"/>
        </w:rPr>
        <w:t xml:space="preserve"> </w:t>
      </w:r>
      <w:r>
        <w:rPr>
          <w:rFonts w:ascii="Times New Roman" w:eastAsia="Times New Roman"/>
          <w:u w:val="single"/>
        </w:rPr>
        <w:tab/>
      </w:r>
      <w:r>
        <w:rPr>
          <w:rFonts w:ascii="Times New Roman" w:eastAsia="Times New Roman"/>
          <w:spacing w:val="1"/>
        </w:rPr>
        <w:t xml:space="preserve"> </w:t>
      </w:r>
      <w:r>
        <w:rPr>
          <w:rFonts w:hint="eastAsia" w:ascii="等线" w:eastAsia="等线"/>
        </w:rPr>
        <w:t>（项目名称）</w:t>
      </w:r>
      <w:r>
        <w:rPr>
          <w:rFonts w:hint="eastAsia" w:ascii="等线" w:eastAsia="等线"/>
          <w:u w:val="single"/>
        </w:rPr>
        <w:t xml:space="preserve"> </w:t>
      </w:r>
      <w:r>
        <w:rPr>
          <w:rFonts w:hint="eastAsia" w:ascii="等线" w:eastAsia="等线"/>
          <w:u w:val="single"/>
        </w:rPr>
        <w:tab/>
      </w:r>
      <w:r>
        <w:rPr>
          <w:rFonts w:hint="eastAsia" w:ascii="等线" w:eastAsia="等线"/>
          <w:u w:val="single"/>
        </w:rPr>
        <w:tab/>
      </w:r>
      <w:r>
        <w:rPr>
          <w:rFonts w:hint="eastAsia" w:ascii="等线" w:eastAsia="等线"/>
        </w:rPr>
        <w:t>标段施工招标的评标委员会 问题澄清通知（编号：</w:t>
      </w:r>
      <w:r>
        <w:rPr>
          <w:rFonts w:hint="eastAsia" w:ascii="等线" w:eastAsia="等线"/>
        </w:rPr>
        <w:tab/>
      </w:r>
      <w:r>
        <w:rPr>
          <w:rFonts w:hint="eastAsia" w:ascii="等线" w:eastAsia="等线"/>
        </w:rPr>
        <w:tab/>
      </w:r>
      <w:r>
        <w:rPr>
          <w:rFonts w:hint="eastAsia" w:ascii="等线" w:eastAsia="等线"/>
        </w:rPr>
        <w:t>）已收悉，现澄清、说明如下</w:t>
      </w:r>
      <w:r>
        <w:rPr>
          <w:rFonts w:hint="eastAsia" w:ascii="等线" w:eastAsia="等线"/>
          <w:spacing w:val="-17"/>
        </w:rPr>
        <w:t xml:space="preserve">： </w:t>
      </w:r>
      <w:r>
        <w:rPr>
          <w:rFonts w:ascii="Calibri" w:eastAsia="Calibri"/>
        </w:rPr>
        <w:t>1.</w:t>
      </w:r>
    </w:p>
    <w:p>
      <w:pPr>
        <w:pStyle w:val="5"/>
        <w:spacing w:before="31"/>
        <w:ind w:left="1020"/>
        <w:rPr>
          <w:rFonts w:ascii="Calibri"/>
        </w:rPr>
      </w:pPr>
      <w:r>
        <w:rPr>
          <w:rFonts w:ascii="Calibri"/>
        </w:rPr>
        <w:t>2.</w:t>
      </w:r>
    </w:p>
    <w:p>
      <w:pPr>
        <w:pStyle w:val="5"/>
        <w:ind w:left="0"/>
        <w:rPr>
          <w:rFonts w:ascii="Calibri"/>
        </w:rPr>
      </w:pPr>
    </w:p>
    <w:p>
      <w:pPr>
        <w:pStyle w:val="5"/>
        <w:spacing w:before="2"/>
        <w:ind w:left="0"/>
        <w:rPr>
          <w:rFonts w:ascii="Calibri"/>
        </w:rPr>
      </w:pPr>
    </w:p>
    <w:p>
      <w:pPr>
        <w:pStyle w:val="5"/>
        <w:ind w:left="1020"/>
        <w:rPr>
          <w:rFonts w:ascii="Calibri"/>
        </w:rPr>
      </w:pPr>
      <w:r>
        <w:rPr>
          <w:rFonts w:ascii="Calibri"/>
        </w:rPr>
        <w:t>......</w:t>
      </w:r>
    </w:p>
    <w:p>
      <w:pPr>
        <w:pStyle w:val="5"/>
        <w:ind w:left="0"/>
        <w:rPr>
          <w:rFonts w:ascii="Calibri"/>
        </w:rPr>
      </w:pPr>
    </w:p>
    <w:p>
      <w:pPr>
        <w:pStyle w:val="5"/>
        <w:ind w:left="0"/>
        <w:rPr>
          <w:rFonts w:ascii="Calibri"/>
        </w:rPr>
      </w:pPr>
    </w:p>
    <w:p>
      <w:pPr>
        <w:pStyle w:val="5"/>
        <w:ind w:left="0"/>
        <w:rPr>
          <w:rFonts w:ascii="Calibri"/>
        </w:rPr>
      </w:pPr>
    </w:p>
    <w:p>
      <w:pPr>
        <w:pStyle w:val="5"/>
        <w:ind w:left="0"/>
        <w:rPr>
          <w:rFonts w:ascii="Calibri"/>
        </w:rPr>
      </w:pPr>
    </w:p>
    <w:p>
      <w:pPr>
        <w:pStyle w:val="5"/>
        <w:spacing w:before="4"/>
        <w:ind w:left="0"/>
        <w:rPr>
          <w:rFonts w:ascii="Calibri"/>
          <w:sz w:val="22"/>
        </w:rPr>
      </w:pPr>
    </w:p>
    <w:p>
      <w:pPr>
        <w:pStyle w:val="5"/>
        <w:spacing w:before="1" w:line="324" w:lineRule="auto"/>
        <w:ind w:right="685" w:firstLine="480"/>
        <w:rPr>
          <w:rFonts w:hint="eastAsia" w:ascii="等线" w:eastAsia="等线"/>
        </w:rPr>
      </w:pPr>
      <w:r>
        <w:rPr>
          <w:rFonts w:hint="eastAsia" w:ascii="等线" w:eastAsia="等线"/>
        </w:rPr>
        <w:t>上述问题澄清或说明，不改变我方投标文件的实质性内容，构成我方投标文件的组成部分。</w:t>
      </w:r>
    </w:p>
    <w:p>
      <w:pPr>
        <w:pStyle w:val="5"/>
        <w:ind w:left="0"/>
        <w:rPr>
          <w:rFonts w:ascii="等线"/>
        </w:rPr>
      </w:pPr>
    </w:p>
    <w:p>
      <w:pPr>
        <w:pStyle w:val="5"/>
        <w:spacing w:before="5"/>
        <w:ind w:left="0"/>
        <w:rPr>
          <w:rFonts w:ascii="等线"/>
          <w:sz w:val="34"/>
        </w:rPr>
      </w:pPr>
    </w:p>
    <w:p>
      <w:pPr>
        <w:pStyle w:val="5"/>
        <w:tabs>
          <w:tab w:val="left" w:pos="8184"/>
        </w:tabs>
        <w:spacing w:before="1"/>
        <w:ind w:left="4344"/>
        <w:rPr>
          <w:rFonts w:hint="eastAsia" w:ascii="等线" w:eastAsia="等线"/>
        </w:rPr>
      </w:pPr>
      <w:r>
        <mc:AlternateContent>
          <mc:Choice Requires="wps">
            <w:drawing>
              <wp:anchor distT="0" distB="0" distL="114300" distR="114300" simplePos="0" relativeHeight="251677696" behindDoc="1" locked="0" layoutInCell="1" allowOverlap="1">
                <wp:simplePos x="0" y="0"/>
                <wp:positionH relativeFrom="page">
                  <wp:posOffset>3888740</wp:posOffset>
                </wp:positionH>
                <wp:positionV relativeFrom="paragraph">
                  <wp:posOffset>179705</wp:posOffset>
                </wp:positionV>
                <wp:extent cx="1828800" cy="0"/>
                <wp:effectExtent l="0" t="0" r="0" b="0"/>
                <wp:wrapNone/>
                <wp:docPr id="7" name="直线 22"/>
                <wp:cNvGraphicFramePr/>
                <a:graphic xmlns:a="http://schemas.openxmlformats.org/drawingml/2006/main">
                  <a:graphicData uri="http://schemas.microsoft.com/office/word/2010/wordprocessingShape">
                    <wps:wsp>
                      <wps:cNvCnPr/>
                      <wps:spPr>
                        <a:xfrm>
                          <a:off x="0" y="0"/>
                          <a:ext cx="1828800" cy="0"/>
                        </a:xfrm>
                        <a:prstGeom prst="line">
                          <a:avLst/>
                        </a:prstGeom>
                        <a:ln w="10668" cap="flat" cmpd="sng">
                          <a:solidFill>
                            <a:srgbClr val="000000"/>
                          </a:solidFill>
                          <a:prstDash val="solid"/>
                          <a:headEnd type="none" w="med" len="med"/>
                          <a:tailEnd type="none" w="med" len="med"/>
                        </a:ln>
                      </wps:spPr>
                      <wps:bodyPr upright="1"/>
                    </wps:wsp>
                  </a:graphicData>
                </a:graphic>
              </wp:anchor>
            </w:drawing>
          </mc:Choice>
          <mc:Fallback>
            <w:pict>
              <v:line id="直线 22" o:spid="_x0000_s1026" o:spt="20" style="position:absolute;left:0pt;margin-left:306.2pt;margin-top:14.15pt;height:0pt;width:144pt;mso-position-horizontal-relative:page;z-index:-251638784;mso-width-relative:page;mso-height-relative:page;" filled="f" stroked="t" coordsize="21600,21600" o:gfxdata="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ijbMPX&#10;AAAACQEAAA8AAAAAAAAAAQAgAAAAIgAAAGRycy9kb3ducmV2LnhtbFBLAQIUABQAAAAIAIdO4kDU&#10;M30I6AEAAN0DAAAOAAAAAAAAAAEAIAAAACYBAABkcnMvZTJvRG9jLnhtbFBLBQYAAAAABgAGAFkB&#10;AACABQAAAAA=&#10;">
                <v:fill on="f" focussize="0,0"/>
                <v:stroke weight="0.84pt" color="#000000" joinstyle="round"/>
                <v:imagedata o:title=""/>
                <o:lock v:ext="edit" aspectratio="f"/>
              </v:line>
            </w:pict>
          </mc:Fallback>
        </mc:AlternateContent>
      </w:r>
      <w:r>
        <w:rPr>
          <w:rFonts w:hint="eastAsia" w:ascii="等线" w:eastAsia="等线"/>
        </w:rPr>
        <w:t>投标人：</w:t>
      </w:r>
      <w:r>
        <w:rPr>
          <w:rFonts w:hint="eastAsia" w:ascii="等线" w:eastAsia="等线"/>
        </w:rPr>
        <w:tab/>
      </w:r>
      <w:r>
        <w:rPr>
          <w:rFonts w:hint="eastAsia" w:ascii="等线" w:eastAsia="等线"/>
        </w:rPr>
        <w:t>（盖章单位）</w:t>
      </w:r>
    </w:p>
    <w:p>
      <w:pPr>
        <w:pStyle w:val="5"/>
        <w:tabs>
          <w:tab w:val="left" w:pos="8664"/>
        </w:tabs>
        <w:spacing w:before="125"/>
        <w:ind w:left="4344"/>
        <w:rPr>
          <w:rFonts w:hint="eastAsia" w:ascii="等线" w:eastAsia="等线"/>
        </w:rPr>
      </w:pPr>
      <w:r>
        <w:rPr>
          <w:rFonts w:hint="eastAsia" w:ascii="等线" w:eastAsia="等线"/>
        </w:rPr>
        <w:t>法定代表人或委托代理人：</w:t>
      </w:r>
      <w:r>
        <w:rPr>
          <w:rFonts w:hint="eastAsia" w:ascii="等线" w:eastAsia="等线"/>
          <w:u w:val="single"/>
        </w:rPr>
        <w:t xml:space="preserve"> </w:t>
      </w:r>
      <w:r>
        <w:rPr>
          <w:rFonts w:hint="eastAsia" w:ascii="等线" w:eastAsia="等线"/>
          <w:u w:val="single"/>
        </w:rPr>
        <w:tab/>
      </w:r>
      <w:r>
        <w:rPr>
          <w:rFonts w:hint="eastAsia" w:ascii="等线" w:eastAsia="等线"/>
        </w:rPr>
        <w:t>（签字）</w:t>
      </w:r>
    </w:p>
    <w:p>
      <w:pPr>
        <w:pStyle w:val="5"/>
        <w:tabs>
          <w:tab w:val="left" w:pos="360"/>
        </w:tabs>
        <w:spacing w:before="126"/>
        <w:ind w:left="0" w:right="740"/>
        <w:jc w:val="right"/>
        <w:rPr>
          <w:rFonts w:hint="eastAsia" w:ascii="等线" w:eastAsia="等线"/>
        </w:rPr>
      </w:pPr>
      <w:r>
        <w:rPr>
          <w:rFonts w:ascii="Times New Roman" w:eastAsia="Times New Roman"/>
          <w:u w:val="single"/>
        </w:rPr>
        <w:t xml:space="preserve"> </w:t>
      </w:r>
      <w:r>
        <w:rPr>
          <w:rFonts w:ascii="Times New Roman" w:eastAsia="Times New Roman"/>
          <w:u w:val="single"/>
        </w:rPr>
        <w:tab/>
      </w:r>
      <w:r>
        <w:rPr>
          <w:rFonts w:hint="eastAsia" w:ascii="等线" w:eastAsia="等线"/>
        </w:rPr>
        <w:t>年</w:t>
      </w:r>
      <w:r>
        <w:rPr>
          <w:rFonts w:hint="eastAsia" w:ascii="等线" w:eastAsia="等线"/>
          <w:u w:val="single"/>
        </w:rPr>
        <w:t xml:space="preserve">   </w:t>
      </w:r>
      <w:r>
        <w:rPr>
          <w:rFonts w:hint="eastAsia" w:ascii="等线" w:eastAsia="等线"/>
        </w:rPr>
        <w:t>月</w:t>
      </w:r>
      <w:r>
        <w:rPr>
          <w:rFonts w:hint="eastAsia" w:ascii="等线" w:eastAsia="等线"/>
          <w:spacing w:val="14"/>
          <w:u w:val="single"/>
        </w:rPr>
        <w:t xml:space="preserve">  </w:t>
      </w:r>
      <w:r>
        <w:rPr>
          <w:rFonts w:hint="eastAsia" w:ascii="等线" w:eastAsia="等线"/>
        </w:rPr>
        <w:t>日</w:t>
      </w:r>
    </w:p>
    <w:p>
      <w:pPr>
        <w:pStyle w:val="5"/>
        <w:ind w:left="0"/>
        <w:rPr>
          <w:rFonts w:ascii="等线"/>
          <w:sz w:val="20"/>
        </w:rPr>
      </w:pPr>
    </w:p>
    <w:p>
      <w:pPr>
        <w:pStyle w:val="5"/>
        <w:ind w:left="0"/>
        <w:rPr>
          <w:rFonts w:ascii="等线"/>
          <w:sz w:val="20"/>
        </w:rPr>
      </w:pPr>
    </w:p>
    <w:p>
      <w:pPr>
        <w:pStyle w:val="5"/>
        <w:ind w:left="0"/>
        <w:rPr>
          <w:rFonts w:ascii="等线"/>
          <w:sz w:val="20"/>
        </w:rPr>
      </w:pPr>
    </w:p>
    <w:p>
      <w:pPr>
        <w:pStyle w:val="5"/>
        <w:spacing w:before="7"/>
        <w:ind w:left="0"/>
        <w:rPr>
          <w:rFonts w:ascii="等线"/>
          <w:sz w:val="27"/>
        </w:rPr>
      </w:pPr>
      <w:r>
        <mc:AlternateContent>
          <mc:Choice Requires="wps">
            <w:drawing>
              <wp:anchor distT="0" distB="0" distL="0" distR="0" simplePos="0" relativeHeight="251713536" behindDoc="1" locked="0" layoutInCell="1" allowOverlap="1">
                <wp:simplePos x="0" y="0"/>
                <wp:positionH relativeFrom="page">
                  <wp:posOffset>1043305</wp:posOffset>
                </wp:positionH>
                <wp:positionV relativeFrom="paragraph">
                  <wp:posOffset>291465</wp:posOffset>
                </wp:positionV>
                <wp:extent cx="1828800" cy="0"/>
                <wp:effectExtent l="0" t="0" r="0" b="0"/>
                <wp:wrapTopAndBottom/>
                <wp:docPr id="30" name="直线 23"/>
                <wp:cNvGraphicFramePr/>
                <a:graphic xmlns:a="http://schemas.openxmlformats.org/drawingml/2006/main">
                  <a:graphicData uri="http://schemas.microsoft.com/office/word/2010/wordprocessingShape">
                    <wps:wsp>
                      <wps:cNvCnPr/>
                      <wps:spPr>
                        <a:xfrm>
                          <a:off x="0" y="0"/>
                          <a:ext cx="18288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82.15pt;margin-top:22.95pt;height:0pt;width:144pt;mso-position-horizontal-relative:page;mso-wrap-distance-bottom:0pt;mso-wrap-distance-top:0pt;z-index:-251602944;mso-width-relative:page;mso-height-relative:page;" filled="f" stroked="t" coordsize="21600,21600" o:gfxdata="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5KJttYA&#10;AAAJAQAADwAAAAAAAAABACAAAAAiAAAAZHJzL2Rvd25yZXYueG1sUEsBAhQAFAAAAAgAh07iQJtc&#10;BYToAQAA3QMAAA4AAAAAAAAAAQAgAAAAJQEAAGRycy9lMm9Eb2MueG1sUEsFBgAAAAAGAAYAWQEA&#10;AH8FAAAAAA==&#10;">
                <v:fill on="f" focussize="0,0"/>
                <v:stroke weight="0.6pt" color="#000000" joinstyle="round"/>
                <v:imagedata o:title=""/>
                <o:lock v:ext="edit" aspectratio="f"/>
                <w10:wrap type="topAndBottom"/>
              </v:line>
            </w:pict>
          </mc:Fallback>
        </mc:AlternateContent>
      </w:r>
    </w:p>
    <w:p>
      <w:pPr>
        <w:pStyle w:val="5"/>
        <w:spacing w:before="8"/>
        <w:ind w:left="0"/>
        <w:rPr>
          <w:rFonts w:ascii="等线"/>
          <w:sz w:val="25"/>
        </w:rPr>
      </w:pPr>
    </w:p>
    <w:p>
      <w:pPr>
        <w:spacing w:before="0"/>
        <w:ind w:left="965" w:right="0" w:firstLine="0"/>
        <w:jc w:val="left"/>
        <w:rPr>
          <w:rFonts w:hint="eastAsia" w:ascii="等线" w:hAnsi="等线" w:eastAsia="等线"/>
          <w:sz w:val="18"/>
        </w:rPr>
      </w:pPr>
      <w:r>
        <w:rPr>
          <w:rFonts w:hint="eastAsia" w:ascii="等线" w:hAnsi="等线" w:eastAsia="等线"/>
          <w:position w:val="9"/>
          <w:sz w:val="9"/>
        </w:rPr>
        <w:t xml:space="preserve">① </w:t>
      </w:r>
      <w:r>
        <w:rPr>
          <w:rFonts w:hint="eastAsia" w:ascii="等线" w:hAnsi="等线" w:eastAsia="等线"/>
          <w:sz w:val="18"/>
        </w:rPr>
        <w:t>投标人仅须在投标文件的澄清或说明上加盖单位章，或由法定代表人或其委托代理人签字。</w:t>
      </w:r>
    </w:p>
    <w:p>
      <w:pPr>
        <w:spacing w:after="0"/>
        <w:jc w:val="left"/>
        <w:rPr>
          <w:rFonts w:hint="eastAsia" w:ascii="等线" w:hAnsi="等线" w:eastAsia="等线"/>
          <w:sz w:val="18"/>
        </w:rPr>
        <w:sectPr>
          <w:pgSz w:w="11910" w:h="16840"/>
          <w:pgMar w:top="1380" w:right="720" w:bottom="1080" w:left="820" w:header="746" w:footer="891" w:gutter="0"/>
          <w:cols w:space="720" w:num="1"/>
        </w:sectPr>
      </w:pPr>
    </w:p>
    <w:p>
      <w:pPr>
        <w:pStyle w:val="5"/>
        <w:ind w:left="0"/>
        <w:rPr>
          <w:rFonts w:ascii="等线"/>
          <w:sz w:val="20"/>
        </w:rPr>
      </w:pPr>
    </w:p>
    <w:p>
      <w:pPr>
        <w:tabs>
          <w:tab w:val="left" w:pos="1262"/>
        </w:tabs>
        <w:spacing w:before="228"/>
        <w:ind w:left="0" w:right="98" w:firstLine="0"/>
        <w:jc w:val="center"/>
        <w:rPr>
          <w:b/>
          <w:sz w:val="28"/>
        </w:rPr>
      </w:pPr>
      <w:bookmarkStart w:id="106" w:name="_bookmark3"/>
      <w:bookmarkEnd w:id="106"/>
      <w:bookmarkStart w:id="107" w:name="第三章   评标办法（技术评分最低标价法）"/>
      <w:bookmarkEnd w:id="107"/>
      <w:r>
        <w:rPr>
          <w:b/>
          <w:sz w:val="28"/>
        </w:rPr>
        <w:t>第三章</w:t>
      </w:r>
      <w:r>
        <w:rPr>
          <w:b/>
          <w:sz w:val="28"/>
        </w:rPr>
        <w:tab/>
      </w:r>
      <w:r>
        <w:rPr>
          <w:b/>
          <w:sz w:val="28"/>
        </w:rPr>
        <w:t>评标办法（技术评分最低标价法）</w:t>
      </w:r>
    </w:p>
    <w:p>
      <w:pPr>
        <w:pStyle w:val="4"/>
        <w:spacing w:before="185"/>
        <w:ind w:left="259" w:right="360"/>
        <w:jc w:val="center"/>
      </w:pPr>
      <w:r>
        <mc:AlternateContent>
          <mc:Choice Requires="wps">
            <w:drawing>
              <wp:anchor distT="0" distB="0" distL="114300" distR="114300" simplePos="0" relativeHeight="251714560" behindDoc="0" locked="0" layoutInCell="1" allowOverlap="1">
                <wp:simplePos x="0" y="0"/>
                <wp:positionH relativeFrom="page">
                  <wp:posOffset>843915</wp:posOffset>
                </wp:positionH>
                <wp:positionV relativeFrom="paragraph">
                  <wp:posOffset>412115</wp:posOffset>
                </wp:positionV>
                <wp:extent cx="6147435" cy="7837805"/>
                <wp:effectExtent l="0" t="0" r="0" b="0"/>
                <wp:wrapNone/>
                <wp:docPr id="31" name="文本框 24"/>
                <wp:cNvGraphicFramePr/>
                <a:graphic xmlns:a="http://schemas.openxmlformats.org/drawingml/2006/main">
                  <a:graphicData uri="http://schemas.microsoft.com/office/word/2010/wordprocessingShape">
                    <wps:wsp>
                      <wps:cNvSpPr txBox="1"/>
                      <wps:spPr>
                        <a:xfrm>
                          <a:off x="0" y="0"/>
                          <a:ext cx="6147435" cy="7837805"/>
                        </a:xfrm>
                        <a:prstGeom prst="rect">
                          <a:avLst/>
                        </a:prstGeom>
                        <a:noFill/>
                        <a:ln>
                          <a:noFill/>
                        </a:ln>
                      </wps:spPr>
                      <wps:txbx>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2487" w:type="dxa"/>
                                  <w:gridSpan w:val="2"/>
                                  <w:tcBorders>
                                    <w:bottom w:val="single" w:color="000000" w:sz="6" w:space="0"/>
                                    <w:right w:val="single" w:color="000000" w:sz="6" w:space="0"/>
                                  </w:tcBorders>
                                </w:tcPr>
                                <w:p>
                                  <w:pPr>
                                    <w:pStyle w:val="11"/>
                                    <w:spacing w:before="2" w:line="251" w:lineRule="exact"/>
                                    <w:ind w:left="910" w:right="882"/>
                                    <w:jc w:val="center"/>
                                    <w:rPr>
                                      <w:b/>
                                      <w:sz w:val="21"/>
                                    </w:rPr>
                                  </w:pPr>
                                  <w:r>
                                    <w:rPr>
                                      <w:b/>
                                      <w:sz w:val="21"/>
                                    </w:rPr>
                                    <w:t>条款号</w:t>
                                  </w:r>
                                </w:p>
                              </w:tc>
                              <w:tc>
                                <w:tcPr>
                                  <w:tcW w:w="7150" w:type="dxa"/>
                                  <w:tcBorders>
                                    <w:left w:val="single" w:color="000000" w:sz="6" w:space="0"/>
                                    <w:bottom w:val="single" w:color="000000" w:sz="6" w:space="0"/>
                                  </w:tcBorders>
                                </w:tcPr>
                                <w:p>
                                  <w:pPr>
                                    <w:pStyle w:val="11"/>
                                    <w:spacing w:before="2" w:line="251" w:lineRule="exact"/>
                                    <w:ind w:left="2819" w:right="2792"/>
                                    <w:jc w:val="center"/>
                                    <w:rPr>
                                      <w:b/>
                                      <w:sz w:val="21"/>
                                    </w:rPr>
                                  </w:pPr>
                                  <w:r>
                                    <w:rPr>
                                      <w:b/>
                                      <w:sz w:val="21"/>
                                    </w:rPr>
                                    <w:t>评审因素与标准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06"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w w:val="99"/>
                                      <w:sz w:val="21"/>
                                    </w:rPr>
                                    <w:t>1</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sz w:val="21"/>
                                    </w:rPr>
                                    <w:t>评标方法</w:t>
                                  </w:r>
                                </w:p>
                              </w:tc>
                              <w:tc>
                                <w:tcPr>
                                  <w:tcW w:w="7150" w:type="dxa"/>
                                  <w:tcBorders>
                                    <w:top w:val="single" w:color="000000" w:sz="6" w:space="0"/>
                                    <w:left w:val="single" w:color="000000" w:sz="6" w:space="0"/>
                                    <w:bottom w:val="single" w:color="000000" w:sz="6" w:space="0"/>
                                  </w:tcBorders>
                                </w:tcPr>
                                <w:p>
                                  <w:pPr>
                                    <w:pStyle w:val="11"/>
                                    <w:spacing w:line="244" w:lineRule="auto"/>
                                    <w:ind w:left="126" w:right="99"/>
                                    <w:rPr>
                                      <w:sz w:val="21"/>
                                    </w:rPr>
                                  </w:pPr>
                                  <w:r>
                                    <w:rPr>
                                      <w:spacing w:val="-4"/>
                                      <w:w w:val="95"/>
                                      <w:sz w:val="21"/>
                                    </w:rPr>
                                    <w:t xml:space="preserve">评标价相等时，评标委员会依次按照以下优先顺序推荐中标候选人或确定中  </w:t>
                                  </w:r>
                                  <w:r>
                                    <w:rPr>
                                      <w:spacing w:val="-4"/>
                                      <w:sz w:val="21"/>
                                    </w:rPr>
                                    <w:t>标人：</w:t>
                                  </w:r>
                                </w:p>
                                <w:p>
                                  <w:pPr>
                                    <w:pStyle w:val="11"/>
                                    <w:numPr>
                                      <w:ilvl w:val="0"/>
                                      <w:numId w:val="22"/>
                                    </w:numPr>
                                    <w:tabs>
                                      <w:tab w:val="left" w:pos="538"/>
                                    </w:tabs>
                                    <w:spacing w:before="0" w:after="0" w:line="265" w:lineRule="exact"/>
                                    <w:ind w:left="537" w:right="0" w:hanging="525"/>
                                    <w:jc w:val="left"/>
                                    <w:rPr>
                                      <w:sz w:val="21"/>
                                    </w:rPr>
                                  </w:pPr>
                                  <w:r>
                                    <w:rPr>
                                      <w:sz w:val="21"/>
                                    </w:rPr>
                                    <w:t>投标报价低的投标人优先；</w:t>
                                  </w:r>
                                </w:p>
                                <w:p>
                                  <w:pPr>
                                    <w:pStyle w:val="11"/>
                                    <w:numPr>
                                      <w:ilvl w:val="0"/>
                                      <w:numId w:val="22"/>
                                    </w:numPr>
                                    <w:tabs>
                                      <w:tab w:val="left" w:pos="547"/>
                                    </w:tabs>
                                    <w:spacing w:before="4" w:after="0" w:line="242" w:lineRule="auto"/>
                                    <w:ind w:left="13" w:right="99" w:firstLine="0"/>
                                    <w:jc w:val="left"/>
                                    <w:rPr>
                                      <w:sz w:val="21"/>
                                    </w:rPr>
                                  </w:pPr>
                                  <w:r>
                                    <w:rPr>
                                      <w:sz w:val="21"/>
                                    </w:rPr>
                                    <w:t>被河南省交通运输主管部门评为较高信用等级的投标人优先；(以河南省交通运输厅最近一次对投标人的信用评级为准）</w:t>
                                  </w:r>
                                </w:p>
                                <w:p>
                                  <w:pPr>
                                    <w:pStyle w:val="11"/>
                                    <w:numPr>
                                      <w:ilvl w:val="0"/>
                                      <w:numId w:val="22"/>
                                    </w:numPr>
                                    <w:tabs>
                                      <w:tab w:val="left" w:pos="538"/>
                                    </w:tabs>
                                    <w:spacing w:before="0" w:after="0" w:line="268" w:lineRule="exact"/>
                                    <w:ind w:left="537" w:right="0" w:hanging="525"/>
                                    <w:jc w:val="left"/>
                                    <w:rPr>
                                      <w:sz w:val="21"/>
                                    </w:rPr>
                                  </w:pPr>
                                  <w:r>
                                    <w:rPr>
                                      <w:sz w:val="21"/>
                                    </w:rPr>
                                    <w:t>商务和技术得分较高的投标人优先；</w:t>
                                  </w:r>
                                </w:p>
                                <w:p>
                                  <w:pPr>
                                    <w:pStyle w:val="11"/>
                                    <w:numPr>
                                      <w:ilvl w:val="0"/>
                                      <w:numId w:val="22"/>
                                    </w:numPr>
                                    <w:tabs>
                                      <w:tab w:val="left" w:pos="538"/>
                                    </w:tabs>
                                    <w:spacing w:before="4" w:after="0" w:line="252" w:lineRule="exact"/>
                                    <w:ind w:left="537" w:right="0" w:hanging="525"/>
                                    <w:jc w:val="left"/>
                                    <w:rPr>
                                      <w:sz w:val="21"/>
                                    </w:rPr>
                                  </w:pPr>
                                  <w:r>
                                    <w:rPr>
                                      <w:sz w:val="21"/>
                                    </w:rPr>
                                    <w:t>若仍无法确定先后顺序，则采取随机抽取的方式确定。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74" w:hRule="atLeast"/>
                              </w:trPr>
                              <w:tc>
                                <w:tcPr>
                                  <w:tcW w:w="874" w:type="dxa"/>
                                  <w:tcBorders>
                                    <w:top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ind w:left="176"/>
                                    <w:rPr>
                                      <w:sz w:val="21"/>
                                    </w:rPr>
                                  </w:pPr>
                                  <w:r>
                                    <w:rPr>
                                      <w:sz w:val="21"/>
                                    </w:rPr>
                                    <w:t>2.1.1</w:t>
                                  </w:r>
                                </w:p>
                                <w:p>
                                  <w:pPr>
                                    <w:pStyle w:val="11"/>
                                    <w:spacing w:before="2"/>
                                    <w:ind w:left="176"/>
                                    <w:rPr>
                                      <w:sz w:val="21"/>
                                    </w:rPr>
                                  </w:pPr>
                                  <w:r>
                                    <w:rPr>
                                      <w:sz w:val="21"/>
                                    </w:rPr>
                                    <w:t>2.1.3</w:t>
                                  </w:r>
                                </w:p>
                              </w:tc>
                              <w:tc>
                                <w:tcPr>
                                  <w:tcW w:w="1613" w:type="dxa"/>
                                  <w:tcBorders>
                                    <w:top w:val="single" w:color="000000" w:sz="6" w:space="0"/>
                                    <w:left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line="242" w:lineRule="auto"/>
                                    <w:ind w:left="126" w:right="96"/>
                                    <w:rPr>
                                      <w:sz w:val="21"/>
                                    </w:rPr>
                                  </w:pPr>
                                  <w:r>
                                    <w:rPr>
                                      <w:sz w:val="21"/>
                                    </w:rPr>
                                    <w:t>形式评审与响应性评审标准</w:t>
                                  </w:r>
                                </w:p>
                              </w:tc>
                              <w:tc>
                                <w:tcPr>
                                  <w:tcW w:w="7150" w:type="dxa"/>
                                  <w:tcBorders>
                                    <w:top w:val="single" w:color="000000" w:sz="6" w:space="0"/>
                                    <w:left w:val="single" w:color="000000" w:sz="6" w:space="0"/>
                                  </w:tcBorders>
                                </w:tcPr>
                                <w:p>
                                  <w:pPr>
                                    <w:pStyle w:val="11"/>
                                    <w:ind w:left="13"/>
                                    <w:rPr>
                                      <w:b/>
                                      <w:sz w:val="21"/>
                                    </w:rPr>
                                  </w:pPr>
                                  <w:r>
                                    <w:rPr>
                                      <w:b/>
                                      <w:sz w:val="21"/>
                                    </w:rPr>
                                    <w:t>第一部分（商务及技术文件）评审标准：</w:t>
                                  </w:r>
                                </w:p>
                                <w:p>
                                  <w:pPr>
                                    <w:pStyle w:val="11"/>
                                    <w:spacing w:before="5"/>
                                    <w:ind w:left="13"/>
                                    <w:rPr>
                                      <w:sz w:val="21"/>
                                    </w:rPr>
                                  </w:pPr>
                                  <w:r>
                                    <w:rPr>
                                      <w:sz w:val="21"/>
                                    </w:rPr>
                                    <w:t>（1）投标文件按照招标文件规定的格式、内容填写，字迹清晰可辨：</w:t>
                                  </w:r>
                                </w:p>
                                <w:p>
                                  <w:pPr>
                                    <w:pStyle w:val="11"/>
                                    <w:numPr>
                                      <w:ilvl w:val="0"/>
                                      <w:numId w:val="23"/>
                                    </w:numPr>
                                    <w:tabs>
                                      <w:tab w:val="left" w:pos="225"/>
                                    </w:tabs>
                                    <w:spacing w:before="2" w:after="0" w:line="244" w:lineRule="auto"/>
                                    <w:ind w:left="13" w:right="-29" w:firstLine="0"/>
                                    <w:jc w:val="left"/>
                                    <w:rPr>
                                      <w:sz w:val="21"/>
                                    </w:rPr>
                                  </w:pPr>
                                  <w:r>
                                    <w:rPr>
                                      <w:w w:val="95"/>
                                      <w:sz w:val="21"/>
                                    </w:rPr>
                                    <w:t xml:space="preserve">投标函按招标文件规定填报了项目名称、合同段号、补遗书编号（如有）、  </w:t>
                                  </w:r>
                                  <w:r>
                                    <w:rPr>
                                      <w:sz w:val="21"/>
                                    </w:rPr>
                                    <w:t>工期、工程质量要求及安全目标；</w:t>
                                  </w:r>
                                </w:p>
                                <w:p>
                                  <w:pPr>
                                    <w:pStyle w:val="11"/>
                                    <w:numPr>
                                      <w:ilvl w:val="0"/>
                                      <w:numId w:val="23"/>
                                    </w:numPr>
                                    <w:tabs>
                                      <w:tab w:val="left" w:pos="225"/>
                                    </w:tabs>
                                    <w:spacing w:before="0" w:after="0" w:line="242" w:lineRule="auto"/>
                                    <w:ind w:left="13" w:right="2703" w:firstLine="0"/>
                                    <w:jc w:val="left"/>
                                    <w:rPr>
                                      <w:sz w:val="21"/>
                                    </w:rPr>
                                  </w:pPr>
                                  <w:r>
                                    <w:rPr>
                                      <w:w w:val="95"/>
                                      <w:sz w:val="21"/>
                                    </w:rPr>
                                    <w:t>投标函附录的所有数据均符合招标文件规定； c.投标文件组成齐全完整，内容均按规定填写。</w:t>
                                  </w:r>
                                </w:p>
                                <w:p>
                                  <w:pPr>
                                    <w:pStyle w:val="11"/>
                                    <w:numPr>
                                      <w:ilvl w:val="0"/>
                                      <w:numId w:val="24"/>
                                    </w:numPr>
                                    <w:tabs>
                                      <w:tab w:val="left" w:pos="547"/>
                                    </w:tabs>
                                    <w:spacing w:before="0" w:after="0" w:line="242" w:lineRule="auto"/>
                                    <w:ind w:left="13" w:right="-15" w:firstLine="0"/>
                                    <w:jc w:val="left"/>
                                    <w:rPr>
                                      <w:sz w:val="21"/>
                                    </w:rPr>
                                  </w:pPr>
                                  <w:r>
                                    <w:rPr>
                                      <w:sz w:val="21"/>
                                    </w:rPr>
                                    <w:t>投标文件上法定代表人或其委托代理人的签字、投标人的单位章盖章齐全，符合招标文件规定。</w:t>
                                  </w:r>
                                </w:p>
                                <w:p>
                                  <w:pPr>
                                    <w:pStyle w:val="11"/>
                                    <w:numPr>
                                      <w:ilvl w:val="0"/>
                                      <w:numId w:val="24"/>
                                    </w:numPr>
                                    <w:tabs>
                                      <w:tab w:val="left" w:pos="538"/>
                                    </w:tabs>
                                    <w:spacing w:before="0" w:after="0" w:line="240" w:lineRule="auto"/>
                                    <w:ind w:left="537" w:right="0" w:hanging="525"/>
                                    <w:jc w:val="left"/>
                                    <w:rPr>
                                      <w:sz w:val="21"/>
                                    </w:rPr>
                                  </w:pPr>
                                  <w:r>
                                    <w:rPr>
                                      <w:sz w:val="21"/>
                                    </w:rPr>
                                    <w:t>投标人按照招标文件的规定提供了投标保证金：</w:t>
                                  </w:r>
                                </w:p>
                                <w:p>
                                  <w:pPr>
                                    <w:pStyle w:val="11"/>
                                    <w:numPr>
                                      <w:ilvl w:val="0"/>
                                      <w:numId w:val="25"/>
                                    </w:numPr>
                                    <w:tabs>
                                      <w:tab w:val="left" w:pos="225"/>
                                    </w:tabs>
                                    <w:spacing w:before="1" w:after="0" w:line="244" w:lineRule="auto"/>
                                    <w:ind w:left="13" w:right="-15" w:firstLine="0"/>
                                    <w:jc w:val="left"/>
                                    <w:rPr>
                                      <w:sz w:val="21"/>
                                    </w:rPr>
                                  </w:pPr>
                                  <w:r>
                                    <w:rPr>
                                      <w:spacing w:val="-1"/>
                                      <w:w w:val="95"/>
                                      <w:sz w:val="21"/>
                                    </w:rPr>
                                    <w:t xml:space="preserve">投标保证金金额符合招标文件规定的金额，且投标保证金有效期不少于投标  </w:t>
                                  </w:r>
                                  <w:r>
                                    <w:rPr>
                                      <w:spacing w:val="-1"/>
                                      <w:sz w:val="21"/>
                                    </w:rPr>
                                    <w:t>有效期；</w:t>
                                  </w:r>
                                </w:p>
                                <w:p>
                                  <w:pPr>
                                    <w:pStyle w:val="11"/>
                                    <w:numPr>
                                      <w:ilvl w:val="0"/>
                                      <w:numId w:val="25"/>
                                    </w:numPr>
                                    <w:tabs>
                                      <w:tab w:val="left" w:pos="225"/>
                                    </w:tabs>
                                    <w:spacing w:before="0" w:after="0" w:line="244" w:lineRule="auto"/>
                                    <w:ind w:left="13" w:right="-15" w:firstLine="0"/>
                                    <w:jc w:val="left"/>
                                    <w:rPr>
                                      <w:sz w:val="21"/>
                                    </w:rPr>
                                  </w:pPr>
                                  <w:r>
                                    <w:rPr>
                                      <w:spacing w:val="-1"/>
                                      <w:w w:val="95"/>
                                      <w:sz w:val="21"/>
                                    </w:rPr>
                                    <w:t xml:space="preserve">若投标保证金采用现金或支票形式提交，投标人应在递交投标文件截止时间  </w:t>
                                  </w:r>
                                  <w:r>
                                    <w:rPr>
                                      <w:spacing w:val="-1"/>
                                      <w:sz w:val="21"/>
                                    </w:rPr>
                                    <w:t>之前，将投标保证金由投标人的基本账户转入招标人指定账户；</w:t>
                                  </w:r>
                                </w:p>
                                <w:p>
                                  <w:pPr>
                                    <w:pStyle w:val="11"/>
                                    <w:numPr>
                                      <w:ilvl w:val="0"/>
                                      <w:numId w:val="25"/>
                                    </w:numPr>
                                    <w:tabs>
                                      <w:tab w:val="left" w:pos="225"/>
                                    </w:tabs>
                                    <w:spacing w:before="0" w:after="0" w:line="242" w:lineRule="auto"/>
                                    <w:ind w:left="13" w:right="-15" w:firstLine="0"/>
                                    <w:jc w:val="both"/>
                                    <w:rPr>
                                      <w:sz w:val="21"/>
                                    </w:rPr>
                                  </w:pPr>
                                  <w:r>
                                    <w:rPr>
                                      <w:spacing w:val="-2"/>
                                      <w:w w:val="95"/>
                                      <w:sz w:val="21"/>
                                    </w:rPr>
                                    <w:t xml:space="preserve">若投标保证金采用银行保函形式提交，银行保函的格式、开具保函的银行均  </w:t>
                                  </w:r>
                                  <w:r>
                                    <w:rPr>
                                      <w:spacing w:val="-3"/>
                                      <w:w w:val="95"/>
                                      <w:sz w:val="21"/>
                                    </w:rPr>
                                    <w:t xml:space="preserve">满足招标文件要求，且在递交投标文件截止时间之前向招标人提交了银行保函  </w:t>
                                  </w:r>
                                  <w:r>
                                    <w:rPr>
                                      <w:spacing w:val="-3"/>
                                      <w:sz w:val="21"/>
                                    </w:rPr>
                                    <w:t>原件。</w:t>
                                  </w:r>
                                </w:p>
                                <w:p>
                                  <w:pPr>
                                    <w:pStyle w:val="11"/>
                                    <w:numPr>
                                      <w:ilvl w:val="0"/>
                                      <w:numId w:val="26"/>
                                    </w:numPr>
                                    <w:tabs>
                                      <w:tab w:val="left" w:pos="538"/>
                                    </w:tabs>
                                    <w:spacing w:before="0" w:after="0" w:line="242" w:lineRule="auto"/>
                                    <w:ind w:left="13" w:right="-15" w:firstLine="0"/>
                                    <w:jc w:val="left"/>
                                    <w:rPr>
                                      <w:sz w:val="21"/>
                                    </w:rPr>
                                  </w:pPr>
                                  <w:r>
                                    <w:rPr>
                                      <w:spacing w:val="-1"/>
                                      <w:sz w:val="21"/>
                                    </w:rPr>
                                    <w:t>投标人法定代表人授权委托代理人签署投标文件的，须提交授权委托书</w:t>
                                  </w:r>
                                  <w:r>
                                    <w:rPr>
                                      <w:spacing w:val="-3"/>
                                      <w:w w:val="95"/>
                                      <w:sz w:val="21"/>
                                    </w:rPr>
                                    <w:t xml:space="preserve">且授权人和被授权人均在授权委托书上签名，未使用印章、签名章或其他电子  </w:t>
                                  </w:r>
                                  <w:r>
                                    <w:rPr>
                                      <w:spacing w:val="-3"/>
                                      <w:sz w:val="21"/>
                                    </w:rPr>
                                    <w:t>制版签名代替。</w:t>
                                  </w:r>
                                </w:p>
                                <w:p>
                                  <w:pPr>
                                    <w:pStyle w:val="11"/>
                                    <w:numPr>
                                      <w:ilvl w:val="0"/>
                                      <w:numId w:val="26"/>
                                    </w:numPr>
                                    <w:tabs>
                                      <w:tab w:val="left" w:pos="547"/>
                                    </w:tabs>
                                    <w:spacing w:before="0" w:after="0" w:line="242" w:lineRule="auto"/>
                                    <w:ind w:left="13" w:right="-15" w:firstLine="0"/>
                                    <w:jc w:val="both"/>
                                    <w:rPr>
                                      <w:sz w:val="21"/>
                                    </w:rPr>
                                  </w:pPr>
                                  <w:r>
                                    <w:rPr>
                                      <w:sz w:val="21"/>
                                    </w:rPr>
                                    <w:t xml:space="preserve">投标人法定代表人亲自签署投标文件的，提供了法定代表人身份证明， </w:t>
                                  </w:r>
                                  <w:r>
                                    <w:rPr>
                                      <w:spacing w:val="-2"/>
                                      <w:w w:val="95"/>
                                      <w:sz w:val="21"/>
                                    </w:rPr>
                                    <w:t xml:space="preserve">且法定代表人在法定代表人身份证明上签名，未使用印章、签名章或其他电子  </w:t>
                                  </w:r>
                                  <w:r>
                                    <w:rPr>
                                      <w:spacing w:val="-2"/>
                                      <w:sz w:val="21"/>
                                    </w:rPr>
                                    <w:t>制版签名代替。</w:t>
                                  </w:r>
                                </w:p>
                                <w:p>
                                  <w:pPr>
                                    <w:pStyle w:val="11"/>
                                    <w:numPr>
                                      <w:ilvl w:val="0"/>
                                      <w:numId w:val="26"/>
                                    </w:numPr>
                                    <w:tabs>
                                      <w:tab w:val="left" w:pos="538"/>
                                    </w:tabs>
                                    <w:spacing w:before="0" w:after="0" w:line="240" w:lineRule="auto"/>
                                    <w:ind w:left="537" w:right="0" w:hanging="525"/>
                                    <w:jc w:val="left"/>
                                    <w:rPr>
                                      <w:sz w:val="21"/>
                                    </w:rPr>
                                  </w:pPr>
                                  <w:r>
                                    <w:rPr>
                                      <w:sz w:val="21"/>
                                    </w:rPr>
                                    <w:t>同一投标人未提交两个以上不同的投标文件。</w:t>
                                  </w:r>
                                </w:p>
                                <w:p>
                                  <w:pPr>
                                    <w:pStyle w:val="11"/>
                                    <w:numPr>
                                      <w:ilvl w:val="0"/>
                                      <w:numId w:val="26"/>
                                    </w:numPr>
                                    <w:tabs>
                                      <w:tab w:val="left" w:pos="538"/>
                                    </w:tabs>
                                    <w:spacing w:before="1" w:after="0" w:line="240" w:lineRule="auto"/>
                                    <w:ind w:left="537" w:right="0" w:hanging="525"/>
                                    <w:jc w:val="left"/>
                                    <w:rPr>
                                      <w:sz w:val="21"/>
                                    </w:rPr>
                                  </w:pPr>
                                  <w:r>
                                    <w:rPr>
                                      <w:sz w:val="21"/>
                                    </w:rPr>
                                    <w:t>投标文件中未出现有关投标报价的内容。</w:t>
                                  </w:r>
                                </w:p>
                                <w:p>
                                  <w:pPr>
                                    <w:pStyle w:val="11"/>
                                    <w:numPr>
                                      <w:ilvl w:val="0"/>
                                      <w:numId w:val="26"/>
                                    </w:numPr>
                                    <w:tabs>
                                      <w:tab w:val="left" w:pos="538"/>
                                    </w:tabs>
                                    <w:spacing w:before="4" w:after="0" w:line="240" w:lineRule="auto"/>
                                    <w:ind w:left="537" w:right="0" w:hanging="525"/>
                                    <w:jc w:val="left"/>
                                    <w:rPr>
                                      <w:sz w:val="21"/>
                                    </w:rPr>
                                  </w:pPr>
                                  <w:r>
                                    <w:rPr>
                                      <w:sz w:val="21"/>
                                    </w:rPr>
                                    <w:t>投标文件载明的招标项目完成期限未超过招标文件规定的时限。</w:t>
                                  </w:r>
                                </w:p>
                                <w:p>
                                  <w:pPr>
                                    <w:pStyle w:val="11"/>
                                    <w:numPr>
                                      <w:ilvl w:val="0"/>
                                      <w:numId w:val="26"/>
                                    </w:numPr>
                                    <w:tabs>
                                      <w:tab w:val="left" w:pos="538"/>
                                    </w:tabs>
                                    <w:spacing w:before="2" w:after="0" w:line="240" w:lineRule="auto"/>
                                    <w:ind w:left="537" w:right="0" w:hanging="525"/>
                                    <w:jc w:val="left"/>
                                    <w:rPr>
                                      <w:sz w:val="21"/>
                                    </w:rPr>
                                  </w:pPr>
                                  <w:r>
                                    <w:rPr>
                                      <w:sz w:val="21"/>
                                    </w:rPr>
                                    <w:t>投标文件对招标文件的实质性要求和条件作出响应。</w:t>
                                  </w:r>
                                </w:p>
                                <w:p>
                                  <w:pPr>
                                    <w:pStyle w:val="11"/>
                                    <w:numPr>
                                      <w:ilvl w:val="0"/>
                                      <w:numId w:val="26"/>
                                    </w:numPr>
                                    <w:tabs>
                                      <w:tab w:val="left" w:pos="644"/>
                                    </w:tabs>
                                    <w:spacing w:before="3" w:after="0" w:line="240" w:lineRule="auto"/>
                                    <w:ind w:left="643" w:right="0" w:hanging="631"/>
                                    <w:jc w:val="left"/>
                                    <w:rPr>
                                      <w:sz w:val="21"/>
                                    </w:rPr>
                                  </w:pPr>
                                  <w:r>
                                    <w:rPr>
                                      <w:sz w:val="21"/>
                                    </w:rPr>
                                    <w:t>权利义务符合招标文件规定：</w:t>
                                  </w:r>
                                </w:p>
                                <w:p>
                                  <w:pPr>
                                    <w:pStyle w:val="11"/>
                                    <w:spacing w:before="4" w:line="242" w:lineRule="auto"/>
                                    <w:ind w:left="13" w:right="321"/>
                                    <w:rPr>
                                      <w:sz w:val="21"/>
                                    </w:rPr>
                                  </w:pPr>
                                  <w:r>
                                    <w:rPr>
                                      <w:w w:val="95"/>
                                      <w:sz w:val="21"/>
                                    </w:rPr>
                                    <w:t xml:space="preserve">a.投标人应接受招标文件规定的风险划分原则，未提出新的风险划分办法；  </w:t>
                                  </w:r>
                                  <w:r>
                                    <w:rPr>
                                      <w:sz w:val="21"/>
                                    </w:rPr>
                                    <w:t>b.投标人未增加发包人的责任范围，或减少投标人义务；</w:t>
                                  </w:r>
                                </w:p>
                                <w:p>
                                  <w:pPr>
                                    <w:pStyle w:val="11"/>
                                    <w:spacing w:before="1" w:line="242" w:lineRule="auto"/>
                                    <w:ind w:left="13" w:right="2316"/>
                                    <w:rPr>
                                      <w:sz w:val="21"/>
                                    </w:rPr>
                                  </w:pPr>
                                  <w:r>
                                    <w:rPr>
                                      <w:w w:val="95"/>
                                      <w:sz w:val="21"/>
                                    </w:rPr>
                                    <w:t xml:space="preserve">c.投标人未提出不同的工程验收、计量、支付办法； </w:t>
                                  </w:r>
                                  <w:r>
                                    <w:rPr>
                                      <w:sz w:val="21"/>
                                    </w:rPr>
                                    <w:t>d.投标人对合同纠纷、事故处理办法未提出异议； e.投标人在投标活动中无欺诈行为；</w:t>
                                  </w:r>
                                </w:p>
                                <w:p>
                                  <w:pPr>
                                    <w:pStyle w:val="11"/>
                                    <w:spacing w:before="1"/>
                                    <w:ind w:left="13"/>
                                    <w:rPr>
                                      <w:sz w:val="21"/>
                                    </w:rPr>
                                  </w:pPr>
                                  <w:r>
                                    <w:rPr>
                                      <w:w w:val="95"/>
                                      <w:sz w:val="21"/>
                                    </w:rPr>
                                    <w:t>f.投标人未对合同条款有重要保留。</w:t>
                                  </w:r>
                                </w:p>
                                <w:p>
                                  <w:pPr>
                                    <w:pStyle w:val="11"/>
                                    <w:spacing w:before="5" w:line="242" w:lineRule="auto"/>
                                    <w:ind w:left="13" w:right="-15"/>
                                    <w:rPr>
                                      <w:sz w:val="21"/>
                                    </w:rPr>
                                  </w:pPr>
                                  <w:r>
                                    <w:rPr>
                                      <w:sz w:val="21"/>
                                    </w:rPr>
                                    <w:t>（11）</w:t>
                                  </w:r>
                                  <w:r>
                                    <w:rPr>
                                      <w:spacing w:val="-5"/>
                                      <w:sz w:val="21"/>
                                    </w:rPr>
                                    <w:t xml:space="preserve">投标文件正、副本份数符合招标文件第二章“投标人须知”第 </w:t>
                                  </w:r>
                                  <w:r>
                                    <w:rPr>
                                      <w:sz w:val="21"/>
                                    </w:rPr>
                                    <w:t>3.7.4</w:t>
                                  </w:r>
                                  <w:r>
                                    <w:rPr>
                                      <w:spacing w:val="-31"/>
                                      <w:sz w:val="21"/>
                                    </w:rPr>
                                    <w:t xml:space="preserve"> 项规定。</w:t>
                                  </w:r>
                                </w:p>
                                <w:p>
                                  <w:pPr>
                                    <w:pStyle w:val="11"/>
                                    <w:spacing w:before="1"/>
                                    <w:ind w:left="13"/>
                                    <w:rPr>
                                      <w:b/>
                                      <w:sz w:val="21"/>
                                    </w:rPr>
                                  </w:pPr>
                                  <w:r>
                                    <w:rPr>
                                      <w:b/>
                                      <w:sz w:val="21"/>
                                    </w:rPr>
                                    <w:t>第二部分（报价文件）评审标准：</w:t>
                                  </w:r>
                                </w:p>
                                <w:p>
                                  <w:pPr>
                                    <w:pStyle w:val="11"/>
                                    <w:spacing w:before="2" w:line="250" w:lineRule="exact"/>
                                    <w:ind w:left="13"/>
                                    <w:rPr>
                                      <w:sz w:val="21"/>
                                    </w:rPr>
                                  </w:pPr>
                                  <w:r>
                                    <w:rPr>
                                      <w:sz w:val="21"/>
                                    </w:rPr>
                                    <w:t>（1）投标文件按照招标文件规定的格式、内容填写，字迹清晰可辨：</w:t>
                                  </w:r>
                                </w:p>
                              </w:tc>
                            </w:tr>
                          </w:tbl>
                          <w:p>
                            <w:pPr>
                              <w:pStyle w:val="5"/>
                              <w:ind w:left="0"/>
                            </w:pPr>
                          </w:p>
                        </w:txbxContent>
                      </wps:txbx>
                      <wps:bodyPr lIns="0" tIns="0" rIns="0" bIns="0" upright="1"/>
                    </wps:wsp>
                  </a:graphicData>
                </a:graphic>
              </wp:anchor>
            </w:drawing>
          </mc:Choice>
          <mc:Fallback>
            <w:pict>
              <v:shape id="文本框 24" o:spid="_x0000_s1026" o:spt="202" type="#_x0000_t202" style="position:absolute;left:0pt;margin-left:66.45pt;margin-top:32.45pt;height:617.15pt;width:484.05pt;mso-position-horizontal-relative:page;z-index:251714560;mso-width-relative:page;mso-height-relative:page;" filled="f" stroked="f" coordsize="21600,21600" o:gfxdata="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ACjY7ZAAAADAEAAA8AAAAAAAAAAQAgAAAAIgAAAGRycy9kb3ducmV2Lnht&#10;bFBLAQIUABQAAAAIAIdO4kA6P8UVvwEAAHUDAAAOAAAAAAAAAAEAIAAAACgBAABkcnMvZTJvRG9j&#10;LnhtbFBLBQYAAAAABgAGAFkBAABZBQAAAAA=&#10;">
                <v:fill on="f" focussize="0,0"/>
                <v:stroke on="f"/>
                <v:imagedata o:title=""/>
                <o:lock v:ext="edit" aspectratio="f"/>
                <v:textbox inset="0mm,0mm,0mm,0mm">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2487" w:type="dxa"/>
                            <w:gridSpan w:val="2"/>
                            <w:tcBorders>
                              <w:bottom w:val="single" w:color="000000" w:sz="6" w:space="0"/>
                              <w:right w:val="single" w:color="000000" w:sz="6" w:space="0"/>
                            </w:tcBorders>
                          </w:tcPr>
                          <w:p>
                            <w:pPr>
                              <w:pStyle w:val="11"/>
                              <w:spacing w:before="2" w:line="251" w:lineRule="exact"/>
                              <w:ind w:left="910" w:right="882"/>
                              <w:jc w:val="center"/>
                              <w:rPr>
                                <w:b/>
                                <w:sz w:val="21"/>
                              </w:rPr>
                            </w:pPr>
                            <w:r>
                              <w:rPr>
                                <w:b/>
                                <w:sz w:val="21"/>
                              </w:rPr>
                              <w:t>条款号</w:t>
                            </w:r>
                          </w:p>
                        </w:tc>
                        <w:tc>
                          <w:tcPr>
                            <w:tcW w:w="7150" w:type="dxa"/>
                            <w:tcBorders>
                              <w:left w:val="single" w:color="000000" w:sz="6" w:space="0"/>
                              <w:bottom w:val="single" w:color="000000" w:sz="6" w:space="0"/>
                            </w:tcBorders>
                          </w:tcPr>
                          <w:p>
                            <w:pPr>
                              <w:pStyle w:val="11"/>
                              <w:spacing w:before="2" w:line="251" w:lineRule="exact"/>
                              <w:ind w:left="2819" w:right="2792"/>
                              <w:jc w:val="center"/>
                              <w:rPr>
                                <w:b/>
                                <w:sz w:val="21"/>
                              </w:rPr>
                            </w:pPr>
                            <w:r>
                              <w:rPr>
                                <w:b/>
                                <w:sz w:val="21"/>
                              </w:rPr>
                              <w:t>评审因素与标准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06"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w w:val="99"/>
                                <w:sz w:val="21"/>
                              </w:rPr>
                              <w:t>1</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spacing w:before="8"/>
                              <w:rPr>
                                <w:sz w:val="23"/>
                              </w:rPr>
                            </w:pPr>
                          </w:p>
                          <w:p>
                            <w:pPr>
                              <w:pStyle w:val="11"/>
                              <w:ind w:left="126"/>
                              <w:rPr>
                                <w:sz w:val="21"/>
                              </w:rPr>
                            </w:pPr>
                            <w:r>
                              <w:rPr>
                                <w:sz w:val="21"/>
                              </w:rPr>
                              <w:t>评标方法</w:t>
                            </w:r>
                          </w:p>
                        </w:tc>
                        <w:tc>
                          <w:tcPr>
                            <w:tcW w:w="7150" w:type="dxa"/>
                            <w:tcBorders>
                              <w:top w:val="single" w:color="000000" w:sz="6" w:space="0"/>
                              <w:left w:val="single" w:color="000000" w:sz="6" w:space="0"/>
                              <w:bottom w:val="single" w:color="000000" w:sz="6" w:space="0"/>
                            </w:tcBorders>
                          </w:tcPr>
                          <w:p>
                            <w:pPr>
                              <w:pStyle w:val="11"/>
                              <w:spacing w:line="244" w:lineRule="auto"/>
                              <w:ind w:left="126" w:right="99"/>
                              <w:rPr>
                                <w:sz w:val="21"/>
                              </w:rPr>
                            </w:pPr>
                            <w:r>
                              <w:rPr>
                                <w:spacing w:val="-4"/>
                                <w:w w:val="95"/>
                                <w:sz w:val="21"/>
                              </w:rPr>
                              <w:t xml:space="preserve">评标价相等时，评标委员会依次按照以下优先顺序推荐中标候选人或确定中  </w:t>
                            </w:r>
                            <w:r>
                              <w:rPr>
                                <w:spacing w:val="-4"/>
                                <w:sz w:val="21"/>
                              </w:rPr>
                              <w:t>标人：</w:t>
                            </w:r>
                          </w:p>
                          <w:p>
                            <w:pPr>
                              <w:pStyle w:val="11"/>
                              <w:numPr>
                                <w:ilvl w:val="0"/>
                                <w:numId w:val="22"/>
                              </w:numPr>
                              <w:tabs>
                                <w:tab w:val="left" w:pos="538"/>
                              </w:tabs>
                              <w:spacing w:before="0" w:after="0" w:line="265" w:lineRule="exact"/>
                              <w:ind w:left="537" w:right="0" w:hanging="525"/>
                              <w:jc w:val="left"/>
                              <w:rPr>
                                <w:sz w:val="21"/>
                              </w:rPr>
                            </w:pPr>
                            <w:r>
                              <w:rPr>
                                <w:sz w:val="21"/>
                              </w:rPr>
                              <w:t>投标报价低的投标人优先；</w:t>
                            </w:r>
                          </w:p>
                          <w:p>
                            <w:pPr>
                              <w:pStyle w:val="11"/>
                              <w:numPr>
                                <w:ilvl w:val="0"/>
                                <w:numId w:val="22"/>
                              </w:numPr>
                              <w:tabs>
                                <w:tab w:val="left" w:pos="547"/>
                              </w:tabs>
                              <w:spacing w:before="4" w:after="0" w:line="242" w:lineRule="auto"/>
                              <w:ind w:left="13" w:right="99" w:firstLine="0"/>
                              <w:jc w:val="left"/>
                              <w:rPr>
                                <w:sz w:val="21"/>
                              </w:rPr>
                            </w:pPr>
                            <w:r>
                              <w:rPr>
                                <w:sz w:val="21"/>
                              </w:rPr>
                              <w:t>被河南省交通运输主管部门评为较高信用等级的投标人优先；(以河南省交通运输厅最近一次对投标人的信用评级为准）</w:t>
                            </w:r>
                          </w:p>
                          <w:p>
                            <w:pPr>
                              <w:pStyle w:val="11"/>
                              <w:numPr>
                                <w:ilvl w:val="0"/>
                                <w:numId w:val="22"/>
                              </w:numPr>
                              <w:tabs>
                                <w:tab w:val="left" w:pos="538"/>
                              </w:tabs>
                              <w:spacing w:before="0" w:after="0" w:line="268" w:lineRule="exact"/>
                              <w:ind w:left="537" w:right="0" w:hanging="525"/>
                              <w:jc w:val="left"/>
                              <w:rPr>
                                <w:sz w:val="21"/>
                              </w:rPr>
                            </w:pPr>
                            <w:r>
                              <w:rPr>
                                <w:sz w:val="21"/>
                              </w:rPr>
                              <w:t>商务和技术得分较高的投标人优先；</w:t>
                            </w:r>
                          </w:p>
                          <w:p>
                            <w:pPr>
                              <w:pStyle w:val="11"/>
                              <w:numPr>
                                <w:ilvl w:val="0"/>
                                <w:numId w:val="22"/>
                              </w:numPr>
                              <w:tabs>
                                <w:tab w:val="left" w:pos="538"/>
                              </w:tabs>
                              <w:spacing w:before="4" w:after="0" w:line="252" w:lineRule="exact"/>
                              <w:ind w:left="537" w:right="0" w:hanging="525"/>
                              <w:jc w:val="left"/>
                              <w:rPr>
                                <w:sz w:val="21"/>
                              </w:rPr>
                            </w:pPr>
                            <w:r>
                              <w:rPr>
                                <w:sz w:val="21"/>
                              </w:rPr>
                              <w:t>若仍无法确定先后顺序，则采取随机抽取的方式确定。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74" w:hRule="atLeast"/>
                        </w:trPr>
                        <w:tc>
                          <w:tcPr>
                            <w:tcW w:w="874" w:type="dxa"/>
                            <w:tcBorders>
                              <w:top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ind w:left="176"/>
                              <w:rPr>
                                <w:sz w:val="21"/>
                              </w:rPr>
                            </w:pPr>
                            <w:r>
                              <w:rPr>
                                <w:sz w:val="21"/>
                              </w:rPr>
                              <w:t>2.1.1</w:t>
                            </w:r>
                          </w:p>
                          <w:p>
                            <w:pPr>
                              <w:pStyle w:val="11"/>
                              <w:spacing w:before="2"/>
                              <w:ind w:left="176"/>
                              <w:rPr>
                                <w:sz w:val="21"/>
                              </w:rPr>
                            </w:pPr>
                            <w:r>
                              <w:rPr>
                                <w:sz w:val="21"/>
                              </w:rPr>
                              <w:t>2.1.3</w:t>
                            </w:r>
                          </w:p>
                        </w:tc>
                        <w:tc>
                          <w:tcPr>
                            <w:tcW w:w="1613" w:type="dxa"/>
                            <w:tcBorders>
                              <w:top w:val="single" w:color="000000" w:sz="6" w:space="0"/>
                              <w:left w:val="single" w:color="000000" w:sz="6" w:space="0"/>
                              <w:right w:val="single" w:color="000000" w:sz="6" w:space="0"/>
                            </w:tcBorders>
                          </w:tcPr>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54" w:line="242" w:lineRule="auto"/>
                              <w:ind w:left="126" w:right="96"/>
                              <w:rPr>
                                <w:sz w:val="21"/>
                              </w:rPr>
                            </w:pPr>
                            <w:r>
                              <w:rPr>
                                <w:sz w:val="21"/>
                              </w:rPr>
                              <w:t>形式评审与响应性评审标准</w:t>
                            </w:r>
                          </w:p>
                        </w:tc>
                        <w:tc>
                          <w:tcPr>
                            <w:tcW w:w="7150" w:type="dxa"/>
                            <w:tcBorders>
                              <w:top w:val="single" w:color="000000" w:sz="6" w:space="0"/>
                              <w:left w:val="single" w:color="000000" w:sz="6" w:space="0"/>
                            </w:tcBorders>
                          </w:tcPr>
                          <w:p>
                            <w:pPr>
                              <w:pStyle w:val="11"/>
                              <w:ind w:left="13"/>
                              <w:rPr>
                                <w:b/>
                                <w:sz w:val="21"/>
                              </w:rPr>
                            </w:pPr>
                            <w:r>
                              <w:rPr>
                                <w:b/>
                                <w:sz w:val="21"/>
                              </w:rPr>
                              <w:t>第一部分（商务及技术文件）评审标准：</w:t>
                            </w:r>
                          </w:p>
                          <w:p>
                            <w:pPr>
                              <w:pStyle w:val="11"/>
                              <w:spacing w:before="5"/>
                              <w:ind w:left="13"/>
                              <w:rPr>
                                <w:sz w:val="21"/>
                              </w:rPr>
                            </w:pPr>
                            <w:r>
                              <w:rPr>
                                <w:sz w:val="21"/>
                              </w:rPr>
                              <w:t>（1）投标文件按照招标文件规定的格式、内容填写，字迹清晰可辨：</w:t>
                            </w:r>
                          </w:p>
                          <w:p>
                            <w:pPr>
                              <w:pStyle w:val="11"/>
                              <w:numPr>
                                <w:ilvl w:val="0"/>
                                <w:numId w:val="23"/>
                              </w:numPr>
                              <w:tabs>
                                <w:tab w:val="left" w:pos="225"/>
                              </w:tabs>
                              <w:spacing w:before="2" w:after="0" w:line="244" w:lineRule="auto"/>
                              <w:ind w:left="13" w:right="-29" w:firstLine="0"/>
                              <w:jc w:val="left"/>
                              <w:rPr>
                                <w:sz w:val="21"/>
                              </w:rPr>
                            </w:pPr>
                            <w:r>
                              <w:rPr>
                                <w:w w:val="95"/>
                                <w:sz w:val="21"/>
                              </w:rPr>
                              <w:t xml:space="preserve">投标函按招标文件规定填报了项目名称、合同段号、补遗书编号（如有）、  </w:t>
                            </w:r>
                            <w:r>
                              <w:rPr>
                                <w:sz w:val="21"/>
                              </w:rPr>
                              <w:t>工期、工程质量要求及安全目标；</w:t>
                            </w:r>
                          </w:p>
                          <w:p>
                            <w:pPr>
                              <w:pStyle w:val="11"/>
                              <w:numPr>
                                <w:ilvl w:val="0"/>
                                <w:numId w:val="23"/>
                              </w:numPr>
                              <w:tabs>
                                <w:tab w:val="left" w:pos="225"/>
                              </w:tabs>
                              <w:spacing w:before="0" w:after="0" w:line="242" w:lineRule="auto"/>
                              <w:ind w:left="13" w:right="2703" w:firstLine="0"/>
                              <w:jc w:val="left"/>
                              <w:rPr>
                                <w:sz w:val="21"/>
                              </w:rPr>
                            </w:pPr>
                            <w:r>
                              <w:rPr>
                                <w:w w:val="95"/>
                                <w:sz w:val="21"/>
                              </w:rPr>
                              <w:t>投标函附录的所有数据均符合招标文件规定； c.投标文件组成齐全完整，内容均按规定填写。</w:t>
                            </w:r>
                          </w:p>
                          <w:p>
                            <w:pPr>
                              <w:pStyle w:val="11"/>
                              <w:numPr>
                                <w:ilvl w:val="0"/>
                                <w:numId w:val="24"/>
                              </w:numPr>
                              <w:tabs>
                                <w:tab w:val="left" w:pos="547"/>
                              </w:tabs>
                              <w:spacing w:before="0" w:after="0" w:line="242" w:lineRule="auto"/>
                              <w:ind w:left="13" w:right="-15" w:firstLine="0"/>
                              <w:jc w:val="left"/>
                              <w:rPr>
                                <w:sz w:val="21"/>
                              </w:rPr>
                            </w:pPr>
                            <w:r>
                              <w:rPr>
                                <w:sz w:val="21"/>
                              </w:rPr>
                              <w:t>投标文件上法定代表人或其委托代理人的签字、投标人的单位章盖章齐全，符合招标文件规定。</w:t>
                            </w:r>
                          </w:p>
                          <w:p>
                            <w:pPr>
                              <w:pStyle w:val="11"/>
                              <w:numPr>
                                <w:ilvl w:val="0"/>
                                <w:numId w:val="24"/>
                              </w:numPr>
                              <w:tabs>
                                <w:tab w:val="left" w:pos="538"/>
                              </w:tabs>
                              <w:spacing w:before="0" w:after="0" w:line="240" w:lineRule="auto"/>
                              <w:ind w:left="537" w:right="0" w:hanging="525"/>
                              <w:jc w:val="left"/>
                              <w:rPr>
                                <w:sz w:val="21"/>
                              </w:rPr>
                            </w:pPr>
                            <w:r>
                              <w:rPr>
                                <w:sz w:val="21"/>
                              </w:rPr>
                              <w:t>投标人按照招标文件的规定提供了投标保证金：</w:t>
                            </w:r>
                          </w:p>
                          <w:p>
                            <w:pPr>
                              <w:pStyle w:val="11"/>
                              <w:numPr>
                                <w:ilvl w:val="0"/>
                                <w:numId w:val="25"/>
                              </w:numPr>
                              <w:tabs>
                                <w:tab w:val="left" w:pos="225"/>
                              </w:tabs>
                              <w:spacing w:before="1" w:after="0" w:line="244" w:lineRule="auto"/>
                              <w:ind w:left="13" w:right="-15" w:firstLine="0"/>
                              <w:jc w:val="left"/>
                              <w:rPr>
                                <w:sz w:val="21"/>
                              </w:rPr>
                            </w:pPr>
                            <w:r>
                              <w:rPr>
                                <w:spacing w:val="-1"/>
                                <w:w w:val="95"/>
                                <w:sz w:val="21"/>
                              </w:rPr>
                              <w:t xml:space="preserve">投标保证金金额符合招标文件规定的金额，且投标保证金有效期不少于投标  </w:t>
                            </w:r>
                            <w:r>
                              <w:rPr>
                                <w:spacing w:val="-1"/>
                                <w:sz w:val="21"/>
                              </w:rPr>
                              <w:t>有效期；</w:t>
                            </w:r>
                          </w:p>
                          <w:p>
                            <w:pPr>
                              <w:pStyle w:val="11"/>
                              <w:numPr>
                                <w:ilvl w:val="0"/>
                                <w:numId w:val="25"/>
                              </w:numPr>
                              <w:tabs>
                                <w:tab w:val="left" w:pos="225"/>
                              </w:tabs>
                              <w:spacing w:before="0" w:after="0" w:line="244" w:lineRule="auto"/>
                              <w:ind w:left="13" w:right="-15" w:firstLine="0"/>
                              <w:jc w:val="left"/>
                              <w:rPr>
                                <w:sz w:val="21"/>
                              </w:rPr>
                            </w:pPr>
                            <w:r>
                              <w:rPr>
                                <w:spacing w:val="-1"/>
                                <w:w w:val="95"/>
                                <w:sz w:val="21"/>
                              </w:rPr>
                              <w:t xml:space="preserve">若投标保证金采用现金或支票形式提交，投标人应在递交投标文件截止时间  </w:t>
                            </w:r>
                            <w:r>
                              <w:rPr>
                                <w:spacing w:val="-1"/>
                                <w:sz w:val="21"/>
                              </w:rPr>
                              <w:t>之前，将投标保证金由投标人的基本账户转入招标人指定账户；</w:t>
                            </w:r>
                          </w:p>
                          <w:p>
                            <w:pPr>
                              <w:pStyle w:val="11"/>
                              <w:numPr>
                                <w:ilvl w:val="0"/>
                                <w:numId w:val="25"/>
                              </w:numPr>
                              <w:tabs>
                                <w:tab w:val="left" w:pos="225"/>
                              </w:tabs>
                              <w:spacing w:before="0" w:after="0" w:line="242" w:lineRule="auto"/>
                              <w:ind w:left="13" w:right="-15" w:firstLine="0"/>
                              <w:jc w:val="both"/>
                              <w:rPr>
                                <w:sz w:val="21"/>
                              </w:rPr>
                            </w:pPr>
                            <w:r>
                              <w:rPr>
                                <w:spacing w:val="-2"/>
                                <w:w w:val="95"/>
                                <w:sz w:val="21"/>
                              </w:rPr>
                              <w:t xml:space="preserve">若投标保证金采用银行保函形式提交，银行保函的格式、开具保函的银行均  </w:t>
                            </w:r>
                            <w:r>
                              <w:rPr>
                                <w:spacing w:val="-3"/>
                                <w:w w:val="95"/>
                                <w:sz w:val="21"/>
                              </w:rPr>
                              <w:t xml:space="preserve">满足招标文件要求，且在递交投标文件截止时间之前向招标人提交了银行保函  </w:t>
                            </w:r>
                            <w:r>
                              <w:rPr>
                                <w:spacing w:val="-3"/>
                                <w:sz w:val="21"/>
                              </w:rPr>
                              <w:t>原件。</w:t>
                            </w:r>
                          </w:p>
                          <w:p>
                            <w:pPr>
                              <w:pStyle w:val="11"/>
                              <w:numPr>
                                <w:ilvl w:val="0"/>
                                <w:numId w:val="26"/>
                              </w:numPr>
                              <w:tabs>
                                <w:tab w:val="left" w:pos="538"/>
                              </w:tabs>
                              <w:spacing w:before="0" w:after="0" w:line="242" w:lineRule="auto"/>
                              <w:ind w:left="13" w:right="-15" w:firstLine="0"/>
                              <w:jc w:val="left"/>
                              <w:rPr>
                                <w:sz w:val="21"/>
                              </w:rPr>
                            </w:pPr>
                            <w:r>
                              <w:rPr>
                                <w:spacing w:val="-1"/>
                                <w:sz w:val="21"/>
                              </w:rPr>
                              <w:t>投标人法定代表人授权委托代理人签署投标文件的，须提交授权委托书</w:t>
                            </w:r>
                            <w:r>
                              <w:rPr>
                                <w:spacing w:val="-3"/>
                                <w:w w:val="95"/>
                                <w:sz w:val="21"/>
                              </w:rPr>
                              <w:t xml:space="preserve">且授权人和被授权人均在授权委托书上签名，未使用印章、签名章或其他电子  </w:t>
                            </w:r>
                            <w:r>
                              <w:rPr>
                                <w:spacing w:val="-3"/>
                                <w:sz w:val="21"/>
                              </w:rPr>
                              <w:t>制版签名代替。</w:t>
                            </w:r>
                          </w:p>
                          <w:p>
                            <w:pPr>
                              <w:pStyle w:val="11"/>
                              <w:numPr>
                                <w:ilvl w:val="0"/>
                                <w:numId w:val="26"/>
                              </w:numPr>
                              <w:tabs>
                                <w:tab w:val="left" w:pos="547"/>
                              </w:tabs>
                              <w:spacing w:before="0" w:after="0" w:line="242" w:lineRule="auto"/>
                              <w:ind w:left="13" w:right="-15" w:firstLine="0"/>
                              <w:jc w:val="both"/>
                              <w:rPr>
                                <w:sz w:val="21"/>
                              </w:rPr>
                            </w:pPr>
                            <w:r>
                              <w:rPr>
                                <w:sz w:val="21"/>
                              </w:rPr>
                              <w:t xml:space="preserve">投标人法定代表人亲自签署投标文件的，提供了法定代表人身份证明， </w:t>
                            </w:r>
                            <w:r>
                              <w:rPr>
                                <w:spacing w:val="-2"/>
                                <w:w w:val="95"/>
                                <w:sz w:val="21"/>
                              </w:rPr>
                              <w:t xml:space="preserve">且法定代表人在法定代表人身份证明上签名，未使用印章、签名章或其他电子  </w:t>
                            </w:r>
                            <w:r>
                              <w:rPr>
                                <w:spacing w:val="-2"/>
                                <w:sz w:val="21"/>
                              </w:rPr>
                              <w:t>制版签名代替。</w:t>
                            </w:r>
                          </w:p>
                          <w:p>
                            <w:pPr>
                              <w:pStyle w:val="11"/>
                              <w:numPr>
                                <w:ilvl w:val="0"/>
                                <w:numId w:val="26"/>
                              </w:numPr>
                              <w:tabs>
                                <w:tab w:val="left" w:pos="538"/>
                              </w:tabs>
                              <w:spacing w:before="0" w:after="0" w:line="240" w:lineRule="auto"/>
                              <w:ind w:left="537" w:right="0" w:hanging="525"/>
                              <w:jc w:val="left"/>
                              <w:rPr>
                                <w:sz w:val="21"/>
                              </w:rPr>
                            </w:pPr>
                            <w:r>
                              <w:rPr>
                                <w:sz w:val="21"/>
                              </w:rPr>
                              <w:t>同一投标人未提交两个以上不同的投标文件。</w:t>
                            </w:r>
                          </w:p>
                          <w:p>
                            <w:pPr>
                              <w:pStyle w:val="11"/>
                              <w:numPr>
                                <w:ilvl w:val="0"/>
                                <w:numId w:val="26"/>
                              </w:numPr>
                              <w:tabs>
                                <w:tab w:val="left" w:pos="538"/>
                              </w:tabs>
                              <w:spacing w:before="1" w:after="0" w:line="240" w:lineRule="auto"/>
                              <w:ind w:left="537" w:right="0" w:hanging="525"/>
                              <w:jc w:val="left"/>
                              <w:rPr>
                                <w:sz w:val="21"/>
                              </w:rPr>
                            </w:pPr>
                            <w:r>
                              <w:rPr>
                                <w:sz w:val="21"/>
                              </w:rPr>
                              <w:t>投标文件中未出现有关投标报价的内容。</w:t>
                            </w:r>
                          </w:p>
                          <w:p>
                            <w:pPr>
                              <w:pStyle w:val="11"/>
                              <w:numPr>
                                <w:ilvl w:val="0"/>
                                <w:numId w:val="26"/>
                              </w:numPr>
                              <w:tabs>
                                <w:tab w:val="left" w:pos="538"/>
                              </w:tabs>
                              <w:spacing w:before="4" w:after="0" w:line="240" w:lineRule="auto"/>
                              <w:ind w:left="537" w:right="0" w:hanging="525"/>
                              <w:jc w:val="left"/>
                              <w:rPr>
                                <w:sz w:val="21"/>
                              </w:rPr>
                            </w:pPr>
                            <w:r>
                              <w:rPr>
                                <w:sz w:val="21"/>
                              </w:rPr>
                              <w:t>投标文件载明的招标项目完成期限未超过招标文件规定的时限。</w:t>
                            </w:r>
                          </w:p>
                          <w:p>
                            <w:pPr>
                              <w:pStyle w:val="11"/>
                              <w:numPr>
                                <w:ilvl w:val="0"/>
                                <w:numId w:val="26"/>
                              </w:numPr>
                              <w:tabs>
                                <w:tab w:val="left" w:pos="538"/>
                              </w:tabs>
                              <w:spacing w:before="2" w:after="0" w:line="240" w:lineRule="auto"/>
                              <w:ind w:left="537" w:right="0" w:hanging="525"/>
                              <w:jc w:val="left"/>
                              <w:rPr>
                                <w:sz w:val="21"/>
                              </w:rPr>
                            </w:pPr>
                            <w:r>
                              <w:rPr>
                                <w:sz w:val="21"/>
                              </w:rPr>
                              <w:t>投标文件对招标文件的实质性要求和条件作出响应。</w:t>
                            </w:r>
                          </w:p>
                          <w:p>
                            <w:pPr>
                              <w:pStyle w:val="11"/>
                              <w:numPr>
                                <w:ilvl w:val="0"/>
                                <w:numId w:val="26"/>
                              </w:numPr>
                              <w:tabs>
                                <w:tab w:val="left" w:pos="644"/>
                              </w:tabs>
                              <w:spacing w:before="3" w:after="0" w:line="240" w:lineRule="auto"/>
                              <w:ind w:left="643" w:right="0" w:hanging="631"/>
                              <w:jc w:val="left"/>
                              <w:rPr>
                                <w:sz w:val="21"/>
                              </w:rPr>
                            </w:pPr>
                            <w:r>
                              <w:rPr>
                                <w:sz w:val="21"/>
                              </w:rPr>
                              <w:t>权利义务符合招标文件规定：</w:t>
                            </w:r>
                          </w:p>
                          <w:p>
                            <w:pPr>
                              <w:pStyle w:val="11"/>
                              <w:spacing w:before="4" w:line="242" w:lineRule="auto"/>
                              <w:ind w:left="13" w:right="321"/>
                              <w:rPr>
                                <w:sz w:val="21"/>
                              </w:rPr>
                            </w:pPr>
                            <w:r>
                              <w:rPr>
                                <w:w w:val="95"/>
                                <w:sz w:val="21"/>
                              </w:rPr>
                              <w:t xml:space="preserve">a.投标人应接受招标文件规定的风险划分原则，未提出新的风险划分办法；  </w:t>
                            </w:r>
                            <w:r>
                              <w:rPr>
                                <w:sz w:val="21"/>
                              </w:rPr>
                              <w:t>b.投标人未增加发包人的责任范围，或减少投标人义务；</w:t>
                            </w:r>
                          </w:p>
                          <w:p>
                            <w:pPr>
                              <w:pStyle w:val="11"/>
                              <w:spacing w:before="1" w:line="242" w:lineRule="auto"/>
                              <w:ind w:left="13" w:right="2316"/>
                              <w:rPr>
                                <w:sz w:val="21"/>
                              </w:rPr>
                            </w:pPr>
                            <w:r>
                              <w:rPr>
                                <w:w w:val="95"/>
                                <w:sz w:val="21"/>
                              </w:rPr>
                              <w:t xml:space="preserve">c.投标人未提出不同的工程验收、计量、支付办法； </w:t>
                            </w:r>
                            <w:r>
                              <w:rPr>
                                <w:sz w:val="21"/>
                              </w:rPr>
                              <w:t>d.投标人对合同纠纷、事故处理办法未提出异议； e.投标人在投标活动中无欺诈行为；</w:t>
                            </w:r>
                          </w:p>
                          <w:p>
                            <w:pPr>
                              <w:pStyle w:val="11"/>
                              <w:spacing w:before="1"/>
                              <w:ind w:left="13"/>
                              <w:rPr>
                                <w:sz w:val="21"/>
                              </w:rPr>
                            </w:pPr>
                            <w:r>
                              <w:rPr>
                                <w:w w:val="95"/>
                                <w:sz w:val="21"/>
                              </w:rPr>
                              <w:t>f.投标人未对合同条款有重要保留。</w:t>
                            </w:r>
                          </w:p>
                          <w:p>
                            <w:pPr>
                              <w:pStyle w:val="11"/>
                              <w:spacing w:before="5" w:line="242" w:lineRule="auto"/>
                              <w:ind w:left="13" w:right="-15"/>
                              <w:rPr>
                                <w:sz w:val="21"/>
                              </w:rPr>
                            </w:pPr>
                            <w:r>
                              <w:rPr>
                                <w:sz w:val="21"/>
                              </w:rPr>
                              <w:t>（11）</w:t>
                            </w:r>
                            <w:r>
                              <w:rPr>
                                <w:spacing w:val="-5"/>
                                <w:sz w:val="21"/>
                              </w:rPr>
                              <w:t xml:space="preserve">投标文件正、副本份数符合招标文件第二章“投标人须知”第 </w:t>
                            </w:r>
                            <w:r>
                              <w:rPr>
                                <w:sz w:val="21"/>
                              </w:rPr>
                              <w:t>3.7.4</w:t>
                            </w:r>
                            <w:r>
                              <w:rPr>
                                <w:spacing w:val="-31"/>
                                <w:sz w:val="21"/>
                              </w:rPr>
                              <w:t xml:space="preserve"> 项规定。</w:t>
                            </w:r>
                          </w:p>
                          <w:p>
                            <w:pPr>
                              <w:pStyle w:val="11"/>
                              <w:spacing w:before="1"/>
                              <w:ind w:left="13"/>
                              <w:rPr>
                                <w:b/>
                                <w:sz w:val="21"/>
                              </w:rPr>
                            </w:pPr>
                            <w:r>
                              <w:rPr>
                                <w:b/>
                                <w:sz w:val="21"/>
                              </w:rPr>
                              <w:t>第二部分（报价文件）评审标准：</w:t>
                            </w:r>
                          </w:p>
                          <w:p>
                            <w:pPr>
                              <w:pStyle w:val="11"/>
                              <w:spacing w:before="2" w:line="250" w:lineRule="exact"/>
                              <w:ind w:left="13"/>
                              <w:rPr>
                                <w:sz w:val="21"/>
                              </w:rPr>
                            </w:pPr>
                            <w:r>
                              <w:rPr>
                                <w:sz w:val="21"/>
                              </w:rPr>
                              <w:t>（1）投标文件按照招标文件规定的格式、内容填写，字迹清晰可辨：</w:t>
                            </w:r>
                          </w:p>
                        </w:tc>
                      </w:tr>
                    </w:tbl>
                    <w:p>
                      <w:pPr>
                        <w:pStyle w:val="5"/>
                        <w:ind w:left="0"/>
                      </w:pPr>
                    </w:p>
                  </w:txbxContent>
                </v:textbox>
              </v:shape>
            </w:pict>
          </mc:Fallback>
        </mc:AlternateContent>
      </w:r>
      <w:bookmarkStart w:id="108" w:name="评标办法前附表"/>
      <w:bookmarkEnd w:id="108"/>
      <w:r>
        <w:t>评标办法前附表</w:t>
      </w: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ind w:left="0"/>
        <w:rPr>
          <w:b/>
        </w:rPr>
      </w:pPr>
    </w:p>
    <w:p>
      <w:pPr>
        <w:pStyle w:val="5"/>
        <w:spacing w:before="3"/>
        <w:ind w:left="0"/>
        <w:rPr>
          <w:b/>
          <w:sz w:val="23"/>
        </w:rPr>
      </w:pPr>
    </w:p>
    <w:p>
      <w:pPr>
        <w:spacing w:before="0"/>
        <w:ind w:left="0" w:right="117" w:firstLine="0"/>
        <w:jc w:val="right"/>
        <w:rPr>
          <w:sz w:val="21"/>
        </w:rPr>
      </w:pPr>
      <w:r>
        <w:rPr>
          <w:w w:val="99"/>
          <w:sz w:val="21"/>
        </w:rPr>
        <w:t>，</w:t>
      </w:r>
    </w:p>
    <w:p>
      <w:pPr>
        <w:spacing w:after="0"/>
        <w:jc w:val="right"/>
        <w:rPr>
          <w:sz w:val="21"/>
        </w:rPr>
        <w:sectPr>
          <w:pgSz w:w="11910" w:h="16840"/>
          <w:pgMar w:top="1380" w:right="720" w:bottom="1080" w:left="820" w:header="746" w:footer="891" w:gutter="0"/>
          <w:cols w:space="720" w:num="1"/>
        </w:sectPr>
      </w:pPr>
    </w:p>
    <w:p>
      <w:pPr>
        <w:pStyle w:val="5"/>
        <w:ind w:left="0"/>
        <w:rPr>
          <w:sz w:val="20"/>
        </w:rPr>
      </w:pPr>
      <w:r>
        <mc:AlternateContent>
          <mc:Choice Requires="wps">
            <w:drawing>
              <wp:anchor distT="0" distB="0" distL="114300" distR="114300" simplePos="0" relativeHeight="251715584" behindDoc="0" locked="0" layoutInCell="1" allowOverlap="1">
                <wp:simplePos x="0" y="0"/>
                <wp:positionH relativeFrom="page">
                  <wp:posOffset>843915</wp:posOffset>
                </wp:positionH>
                <wp:positionV relativeFrom="page">
                  <wp:posOffset>914400</wp:posOffset>
                </wp:positionV>
                <wp:extent cx="6147435" cy="8802370"/>
                <wp:effectExtent l="0" t="0" r="0" b="0"/>
                <wp:wrapNone/>
                <wp:docPr id="32" name="文本框 25"/>
                <wp:cNvGraphicFramePr/>
                <a:graphic xmlns:a="http://schemas.openxmlformats.org/drawingml/2006/main">
                  <a:graphicData uri="http://schemas.microsoft.com/office/word/2010/wordprocessingShape">
                    <wps:wsp>
                      <wps:cNvSpPr txBox="1"/>
                      <wps:spPr>
                        <a:xfrm>
                          <a:off x="0" y="0"/>
                          <a:ext cx="6147435" cy="8802370"/>
                        </a:xfrm>
                        <a:prstGeom prst="rect">
                          <a:avLst/>
                        </a:prstGeom>
                        <a:noFill/>
                        <a:ln>
                          <a:noFill/>
                        </a:ln>
                      </wps:spPr>
                      <wps:txbx>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2002"/>
                              <w:gridCol w:w="514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60"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1" w:type="dxa"/>
                                  <w:gridSpan w:val="2"/>
                                  <w:tcBorders>
                                    <w:left w:val="single" w:color="000000" w:sz="6" w:space="0"/>
                                    <w:bottom w:val="single" w:color="000000" w:sz="6" w:space="0"/>
                                  </w:tcBorders>
                                </w:tcPr>
                                <w:p>
                                  <w:pPr>
                                    <w:pStyle w:val="11"/>
                                    <w:numPr>
                                      <w:ilvl w:val="0"/>
                                      <w:numId w:val="27"/>
                                    </w:numPr>
                                    <w:tabs>
                                      <w:tab w:val="left" w:pos="225"/>
                                    </w:tabs>
                                    <w:spacing w:before="0" w:after="0" w:line="242" w:lineRule="auto"/>
                                    <w:ind w:left="13" w:right="-29" w:firstLine="0"/>
                                    <w:jc w:val="left"/>
                                    <w:rPr>
                                      <w:sz w:val="21"/>
                                    </w:rPr>
                                  </w:pPr>
                                  <w:r>
                                    <w:rPr>
                                      <w:w w:val="95"/>
                                      <w:sz w:val="21"/>
                                    </w:rPr>
                                    <w:t xml:space="preserve">投标函按招标文件规定填报了项目名称、合同段号、补遗书编号（如有）、  </w:t>
                                  </w:r>
                                  <w:r>
                                    <w:rPr>
                                      <w:sz w:val="21"/>
                                    </w:rPr>
                                    <w:t>投标价（包括大写金额和小写金额）；</w:t>
                                  </w:r>
                                </w:p>
                                <w:p>
                                  <w:pPr>
                                    <w:pStyle w:val="11"/>
                                    <w:numPr>
                                      <w:ilvl w:val="0"/>
                                      <w:numId w:val="27"/>
                                    </w:numPr>
                                    <w:tabs>
                                      <w:tab w:val="left" w:pos="230"/>
                                    </w:tabs>
                                    <w:spacing w:before="0" w:after="0" w:line="244" w:lineRule="auto"/>
                                    <w:ind w:left="13" w:right="-15" w:firstLine="0"/>
                                    <w:jc w:val="left"/>
                                    <w:rPr>
                                      <w:sz w:val="21"/>
                                    </w:rPr>
                                  </w:pPr>
                                  <w:r>
                                    <w:rPr>
                                      <w:spacing w:val="6"/>
                                      <w:w w:val="95"/>
                                      <w:sz w:val="21"/>
                                    </w:rPr>
                                    <w:t xml:space="preserve">已标价工程量清单说明文字与招标文件规定一致，未进行实质性修改和删  </w:t>
                                  </w:r>
                                  <w:r>
                                    <w:rPr>
                                      <w:sz w:val="21"/>
                                    </w:rPr>
                                    <w:t>减；</w:t>
                                  </w:r>
                                </w:p>
                                <w:p>
                                  <w:pPr>
                                    <w:pStyle w:val="11"/>
                                    <w:numPr>
                                      <w:ilvl w:val="0"/>
                                      <w:numId w:val="27"/>
                                    </w:numPr>
                                    <w:tabs>
                                      <w:tab w:val="left" w:pos="225"/>
                                    </w:tabs>
                                    <w:spacing w:before="0" w:after="0" w:line="265" w:lineRule="exact"/>
                                    <w:ind w:left="224" w:right="0" w:hanging="212"/>
                                    <w:jc w:val="left"/>
                                    <w:rPr>
                                      <w:sz w:val="21"/>
                                    </w:rPr>
                                  </w:pPr>
                                  <w:r>
                                    <w:rPr>
                                      <w:sz w:val="21"/>
                                    </w:rPr>
                                    <w:t>投标文件组成齐全完整，内容均按规定填写。</w:t>
                                  </w:r>
                                </w:p>
                                <w:p>
                                  <w:pPr>
                                    <w:pStyle w:val="11"/>
                                    <w:numPr>
                                      <w:ilvl w:val="0"/>
                                      <w:numId w:val="28"/>
                                    </w:numPr>
                                    <w:tabs>
                                      <w:tab w:val="left" w:pos="538"/>
                                    </w:tabs>
                                    <w:spacing w:before="0" w:after="0" w:line="244" w:lineRule="auto"/>
                                    <w:ind w:left="13" w:right="90" w:firstLine="0"/>
                                    <w:jc w:val="left"/>
                                    <w:rPr>
                                      <w:sz w:val="21"/>
                                    </w:rPr>
                                  </w:pPr>
                                  <w:r>
                                    <w:rPr>
                                      <w:spacing w:val="-1"/>
                                      <w:w w:val="95"/>
                                      <w:sz w:val="21"/>
                                    </w:rPr>
                                    <w:t xml:space="preserve">投标文件上法定表人或其委托代理人的签字、投标人的单位章盖章齐全  </w:t>
                                  </w:r>
                                  <w:r>
                                    <w:rPr>
                                      <w:spacing w:val="-1"/>
                                      <w:sz w:val="21"/>
                                    </w:rPr>
                                    <w:t>符合招标文件规定。</w:t>
                                  </w:r>
                                </w:p>
                                <w:p>
                                  <w:pPr>
                                    <w:pStyle w:val="11"/>
                                    <w:numPr>
                                      <w:ilvl w:val="0"/>
                                      <w:numId w:val="28"/>
                                    </w:numPr>
                                    <w:tabs>
                                      <w:tab w:val="left" w:pos="538"/>
                                    </w:tabs>
                                    <w:spacing w:before="0" w:after="0" w:line="265" w:lineRule="exact"/>
                                    <w:ind w:left="537" w:right="0" w:hanging="525"/>
                                    <w:jc w:val="left"/>
                                    <w:rPr>
                                      <w:sz w:val="21"/>
                                    </w:rPr>
                                  </w:pPr>
                                  <w:r>
                                    <w:rPr>
                                      <w:spacing w:val="-2"/>
                                      <w:sz w:val="21"/>
                                    </w:rPr>
                                    <w:t>投标报价或调价函中的报价未超过招标文件设定的最高投标限价</w:t>
                                  </w:r>
                                  <w:r>
                                    <w:rPr>
                                      <w:sz w:val="21"/>
                                    </w:rPr>
                                    <w:t>（如有</w:t>
                                  </w:r>
                                  <w:r>
                                    <w:rPr>
                                      <w:spacing w:val="-106"/>
                                      <w:sz w:val="21"/>
                                    </w:rPr>
                                    <w:t>）</w:t>
                                  </w:r>
                                </w:p>
                                <w:p>
                                  <w:pPr>
                                    <w:pStyle w:val="11"/>
                                    <w:numPr>
                                      <w:ilvl w:val="0"/>
                                      <w:numId w:val="28"/>
                                    </w:numPr>
                                    <w:tabs>
                                      <w:tab w:val="left" w:pos="538"/>
                                    </w:tabs>
                                    <w:spacing w:before="0" w:after="0" w:line="240" w:lineRule="auto"/>
                                    <w:ind w:left="537" w:right="0" w:hanging="525"/>
                                    <w:jc w:val="left"/>
                                    <w:rPr>
                                      <w:sz w:val="21"/>
                                    </w:rPr>
                                  </w:pPr>
                                  <w:r>
                                    <w:rPr>
                                      <w:sz w:val="21"/>
                                    </w:rPr>
                                    <w:t>投标报价的大写金额能够确定具体数值。</w:t>
                                  </w:r>
                                </w:p>
                                <w:p>
                                  <w:pPr>
                                    <w:pStyle w:val="11"/>
                                    <w:numPr>
                                      <w:ilvl w:val="0"/>
                                      <w:numId w:val="28"/>
                                    </w:numPr>
                                    <w:tabs>
                                      <w:tab w:val="left" w:pos="547"/>
                                    </w:tabs>
                                    <w:spacing w:before="0" w:after="0" w:line="242" w:lineRule="auto"/>
                                    <w:ind w:left="13" w:right="-15" w:firstLine="0"/>
                                    <w:jc w:val="left"/>
                                    <w:rPr>
                                      <w:sz w:val="21"/>
                                    </w:rPr>
                                  </w:pPr>
                                  <w:r>
                                    <w:rPr>
                                      <w:sz w:val="21"/>
                                    </w:rPr>
                                    <w:t>同一投标人未提交两个以上不同的投标报价，但招标文件要求提交备选投标的除外。</w:t>
                                  </w:r>
                                </w:p>
                                <w:p>
                                  <w:pPr>
                                    <w:pStyle w:val="11"/>
                                    <w:numPr>
                                      <w:ilvl w:val="0"/>
                                      <w:numId w:val="28"/>
                                    </w:numPr>
                                    <w:tabs>
                                      <w:tab w:val="left" w:pos="538"/>
                                    </w:tabs>
                                    <w:spacing w:before="0" w:after="0" w:line="242" w:lineRule="auto"/>
                                    <w:ind w:left="13" w:right="-15" w:firstLine="0"/>
                                    <w:jc w:val="left"/>
                                    <w:rPr>
                                      <w:sz w:val="21"/>
                                    </w:rPr>
                                  </w:pPr>
                                  <w:r>
                                    <w:rPr>
                                      <w:spacing w:val="-12"/>
                                      <w:sz w:val="21"/>
                                    </w:rPr>
                                    <w:t>投标人若提交调价函，调价函符合招标文件第二章“投标人须知”第3.2.6项要求。</w:t>
                                  </w:r>
                                </w:p>
                                <w:p>
                                  <w:pPr>
                                    <w:pStyle w:val="11"/>
                                    <w:numPr>
                                      <w:ilvl w:val="0"/>
                                      <w:numId w:val="28"/>
                                    </w:numPr>
                                    <w:tabs>
                                      <w:tab w:val="left" w:pos="547"/>
                                    </w:tabs>
                                    <w:spacing w:before="0" w:after="0" w:line="242" w:lineRule="auto"/>
                                    <w:ind w:left="13" w:right="-15" w:firstLine="0"/>
                                    <w:jc w:val="both"/>
                                    <w:rPr>
                                      <w:sz w:val="21"/>
                                    </w:rPr>
                                  </w:pPr>
                                  <w:r>
                                    <w:rPr>
                                      <w:sz w:val="21"/>
                                    </w:rPr>
                                    <w:t>投标人若填写工程量固化清单，填写完毕的工程量固化清单未对工程量</w:t>
                                  </w:r>
                                  <w:r>
                                    <w:rPr>
                                      <w:spacing w:val="-2"/>
                                      <w:w w:val="95"/>
                                      <w:sz w:val="21"/>
                                    </w:rPr>
                                    <w:t xml:space="preserve">固化清单电子文件中的数据、格式和运算定义进行修改；工程量固化清单中的  </w:t>
                                  </w:r>
                                  <w:r>
                                    <w:rPr>
                                      <w:spacing w:val="-2"/>
                                      <w:sz w:val="21"/>
                                    </w:rPr>
                                    <w:t>投标报价和投标函大写金额报价一致。</w:t>
                                  </w:r>
                                </w:p>
                                <w:p>
                                  <w:pPr>
                                    <w:pStyle w:val="11"/>
                                    <w:numPr>
                                      <w:ilvl w:val="0"/>
                                      <w:numId w:val="28"/>
                                    </w:numPr>
                                    <w:tabs>
                                      <w:tab w:val="left" w:pos="549"/>
                                    </w:tabs>
                                    <w:spacing w:before="0" w:after="0" w:line="242" w:lineRule="auto"/>
                                    <w:ind w:left="13" w:right="-15" w:firstLine="0"/>
                                    <w:jc w:val="both"/>
                                    <w:rPr>
                                      <w:sz w:val="21"/>
                                    </w:rPr>
                                  </w:pPr>
                                  <w:r>
                                    <w:rPr>
                                      <w:spacing w:val="-2"/>
                                      <w:sz w:val="21"/>
                                    </w:rPr>
                                    <w:t xml:space="preserve">投标文件正、副本份数符合招标文件第二章“投标人须知”第 </w:t>
                                  </w:r>
                                  <w:r>
                                    <w:rPr>
                                      <w:sz w:val="21"/>
                                    </w:rPr>
                                    <w:t>3.7.4</w:t>
                                  </w:r>
                                  <w:r>
                                    <w:rPr>
                                      <w:spacing w:val="-28"/>
                                      <w:sz w:val="21"/>
                                    </w:rPr>
                                    <w:t xml:space="preserve"> 项规定。</w:t>
                                  </w:r>
                                </w:p>
                                <w:p>
                                  <w:pPr>
                                    <w:pStyle w:val="11"/>
                                    <w:numPr>
                                      <w:ilvl w:val="0"/>
                                      <w:numId w:val="28"/>
                                    </w:numPr>
                                    <w:tabs>
                                      <w:tab w:val="left" w:pos="538"/>
                                    </w:tabs>
                                    <w:spacing w:before="2" w:after="0" w:line="252" w:lineRule="exact"/>
                                    <w:ind w:left="537" w:right="0" w:hanging="525"/>
                                    <w:jc w:val="left"/>
                                    <w:rPr>
                                      <w:sz w:val="21"/>
                                    </w:rPr>
                                  </w:pPr>
                                  <w:r>
                                    <w:rPr>
                                      <w:sz w:val="21"/>
                                    </w:rPr>
                                    <w:t>投标工程量清单中的投标报价和投标函大写金额报价一致。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77"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76"/>
                                    <w:rPr>
                                      <w:sz w:val="21"/>
                                    </w:rPr>
                                  </w:pPr>
                                  <w:r>
                                    <w:rPr>
                                      <w:sz w:val="21"/>
                                    </w:rPr>
                                    <w:t>2.1.2</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26"/>
                                    <w:rPr>
                                      <w:sz w:val="21"/>
                                    </w:rPr>
                                  </w:pPr>
                                  <w:r>
                                    <w:rPr>
                                      <w:sz w:val="21"/>
                                    </w:rPr>
                                    <w:t>资格评审标准</w:t>
                                  </w:r>
                                </w:p>
                              </w:tc>
                              <w:tc>
                                <w:tcPr>
                                  <w:tcW w:w="7151" w:type="dxa"/>
                                  <w:gridSpan w:val="2"/>
                                  <w:tcBorders>
                                    <w:top w:val="single" w:color="000000" w:sz="6" w:space="0"/>
                                    <w:left w:val="single" w:color="000000" w:sz="6" w:space="0"/>
                                    <w:bottom w:val="single" w:color="000000" w:sz="6" w:space="0"/>
                                  </w:tcBorders>
                                </w:tcPr>
                                <w:p>
                                  <w:pPr>
                                    <w:pStyle w:val="11"/>
                                    <w:numPr>
                                      <w:ilvl w:val="0"/>
                                      <w:numId w:val="29"/>
                                    </w:numPr>
                                    <w:tabs>
                                      <w:tab w:val="left" w:pos="538"/>
                                    </w:tabs>
                                    <w:spacing w:before="0" w:after="0" w:line="242" w:lineRule="auto"/>
                                    <w:ind w:left="13" w:right="97" w:firstLine="0"/>
                                    <w:jc w:val="left"/>
                                    <w:rPr>
                                      <w:sz w:val="21"/>
                                    </w:rPr>
                                  </w:pPr>
                                  <w:r>
                                    <w:rPr>
                                      <w:spacing w:val="-2"/>
                                      <w:w w:val="95"/>
                                      <w:sz w:val="21"/>
                                    </w:rPr>
                                    <w:t xml:space="preserve">投标人具备有效的营业执照、资质证书、安全生产许可证和基本账户开  </w:t>
                                  </w:r>
                                  <w:r>
                                    <w:rPr>
                                      <w:spacing w:val="-2"/>
                                      <w:sz w:val="21"/>
                                    </w:rPr>
                                    <w:t>户许可证。</w:t>
                                  </w:r>
                                </w:p>
                                <w:p>
                                  <w:pPr>
                                    <w:pStyle w:val="11"/>
                                    <w:numPr>
                                      <w:ilvl w:val="0"/>
                                      <w:numId w:val="29"/>
                                    </w:numPr>
                                    <w:tabs>
                                      <w:tab w:val="left" w:pos="538"/>
                                    </w:tabs>
                                    <w:spacing w:before="0" w:after="0" w:line="268" w:lineRule="exact"/>
                                    <w:ind w:left="537" w:right="0" w:hanging="525"/>
                                    <w:jc w:val="left"/>
                                    <w:rPr>
                                      <w:sz w:val="21"/>
                                    </w:rPr>
                                  </w:pPr>
                                  <w:r>
                                    <w:rPr>
                                      <w:w w:val="95"/>
                                      <w:sz w:val="21"/>
                                    </w:rPr>
                                    <w:t>投标人的资质等级符合招标文件规定。</w:t>
                                  </w:r>
                                </w:p>
                                <w:p>
                                  <w:pPr>
                                    <w:pStyle w:val="11"/>
                                    <w:numPr>
                                      <w:ilvl w:val="0"/>
                                      <w:numId w:val="29"/>
                                    </w:numPr>
                                    <w:tabs>
                                      <w:tab w:val="left" w:pos="538"/>
                                    </w:tabs>
                                    <w:spacing w:before="5" w:after="0" w:line="240" w:lineRule="auto"/>
                                    <w:ind w:left="537" w:right="0" w:hanging="525"/>
                                    <w:jc w:val="left"/>
                                    <w:rPr>
                                      <w:sz w:val="21"/>
                                    </w:rPr>
                                  </w:pPr>
                                  <w:r>
                                    <w:rPr>
                                      <w:w w:val="95"/>
                                      <w:sz w:val="21"/>
                                    </w:rPr>
                                    <w:t>投标人的财务状况符合招标文件规定。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投标人的类似项目业绩符合招标文件规定。</w:t>
                                  </w:r>
                                </w:p>
                                <w:p>
                                  <w:pPr>
                                    <w:pStyle w:val="11"/>
                                    <w:numPr>
                                      <w:ilvl w:val="0"/>
                                      <w:numId w:val="29"/>
                                    </w:numPr>
                                    <w:tabs>
                                      <w:tab w:val="left" w:pos="538"/>
                                    </w:tabs>
                                    <w:spacing w:before="3" w:after="0" w:line="240" w:lineRule="auto"/>
                                    <w:ind w:left="537" w:right="0" w:hanging="525"/>
                                    <w:jc w:val="left"/>
                                    <w:rPr>
                                      <w:sz w:val="21"/>
                                    </w:rPr>
                                  </w:pPr>
                                  <w:r>
                                    <w:rPr>
                                      <w:sz w:val="21"/>
                                    </w:rPr>
                                    <w:t>投标人的信誉符合招标文件规定。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投标人的项目经理和项目总工资格、在岗情况符合招标文件规定。</w:t>
                                  </w:r>
                                </w:p>
                                <w:p>
                                  <w:pPr>
                                    <w:pStyle w:val="11"/>
                                    <w:numPr>
                                      <w:ilvl w:val="0"/>
                                      <w:numId w:val="29"/>
                                    </w:numPr>
                                    <w:tabs>
                                      <w:tab w:val="left" w:pos="538"/>
                                    </w:tabs>
                                    <w:spacing w:before="2" w:after="0" w:line="252" w:lineRule="exact"/>
                                    <w:ind w:left="537" w:right="0" w:hanging="525"/>
                                    <w:jc w:val="left"/>
                                    <w:rPr>
                                      <w:sz w:val="21"/>
                                    </w:rPr>
                                  </w:pPr>
                                  <w:r>
                                    <w:rPr>
                                      <w:sz w:val="21"/>
                                    </w:rPr>
                                    <w:t>投标人的其他要求符合招标文件规定。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874" w:type="dxa"/>
                                  <w:tcBorders>
                                    <w:top w:val="single" w:color="000000" w:sz="6" w:space="0"/>
                                    <w:bottom w:val="single" w:color="000000" w:sz="6" w:space="0"/>
                                    <w:right w:val="single" w:color="000000" w:sz="6" w:space="0"/>
                                  </w:tcBorders>
                                </w:tcPr>
                                <w:p>
                                  <w:pPr>
                                    <w:pStyle w:val="11"/>
                                    <w:spacing w:before="1" w:line="252" w:lineRule="exact"/>
                                    <w:ind w:left="124"/>
                                    <w:rPr>
                                      <w:b/>
                                      <w:sz w:val="21"/>
                                    </w:rPr>
                                  </w:pPr>
                                  <w:r>
                                    <w:rPr>
                                      <w:b/>
                                      <w:sz w:val="21"/>
                                    </w:rPr>
                                    <w:t>条款号</w:t>
                                  </w:r>
                                </w:p>
                              </w:tc>
                              <w:tc>
                                <w:tcPr>
                                  <w:tcW w:w="1613" w:type="dxa"/>
                                  <w:tcBorders>
                                    <w:top w:val="single" w:color="000000" w:sz="6" w:space="0"/>
                                    <w:left w:val="single" w:color="000000" w:sz="6" w:space="0"/>
                                    <w:bottom w:val="single" w:color="000000" w:sz="6" w:space="0"/>
                                    <w:right w:val="single" w:color="000000" w:sz="6" w:space="0"/>
                                  </w:tcBorders>
                                </w:tcPr>
                                <w:p>
                                  <w:pPr>
                                    <w:pStyle w:val="11"/>
                                    <w:spacing w:before="1" w:line="252" w:lineRule="exact"/>
                                    <w:ind w:left="392"/>
                                    <w:rPr>
                                      <w:b/>
                                      <w:sz w:val="21"/>
                                    </w:rPr>
                                  </w:pPr>
                                  <w:r>
                                    <w:rPr>
                                      <w:b/>
                                      <w:sz w:val="21"/>
                                    </w:rPr>
                                    <w:t>条款内容</w:t>
                                  </w:r>
                                </w:p>
                              </w:tc>
                              <w:tc>
                                <w:tcPr>
                                  <w:tcW w:w="7151" w:type="dxa"/>
                                  <w:gridSpan w:val="2"/>
                                  <w:tcBorders>
                                    <w:top w:val="single" w:color="000000" w:sz="6" w:space="0"/>
                                    <w:left w:val="single" w:color="000000" w:sz="6" w:space="0"/>
                                    <w:bottom w:val="single" w:color="000000" w:sz="6" w:space="0"/>
                                  </w:tcBorders>
                                </w:tcPr>
                                <w:p>
                                  <w:pPr>
                                    <w:pStyle w:val="11"/>
                                    <w:spacing w:before="1" w:line="252" w:lineRule="exact"/>
                                    <w:ind w:left="2974" w:right="2953"/>
                                    <w:jc w:val="center"/>
                                    <w:rPr>
                                      <w:b/>
                                      <w:sz w:val="21"/>
                                    </w:rPr>
                                  </w:pPr>
                                  <w:r>
                                    <w:rPr>
                                      <w:b/>
                                      <w:sz w:val="21"/>
                                    </w:rPr>
                                    <w:t>编 列 内 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8"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spacing w:before="135" w:line="243" w:lineRule="exact"/>
                                    <w:ind w:left="126"/>
                                    <w:rPr>
                                      <w:sz w:val="21"/>
                                    </w:rPr>
                                  </w:pPr>
                                  <w:r>
                                    <w:rPr>
                                      <w:sz w:val="21"/>
                                    </w:rPr>
                                    <w:t>第一部分评分</w:t>
                                  </w:r>
                                </w:p>
                              </w:tc>
                              <w:tc>
                                <w:tcPr>
                                  <w:tcW w:w="2002" w:type="dxa"/>
                                  <w:vMerge w:val="restart"/>
                                  <w:tcBorders>
                                    <w:top w:val="single" w:color="000000" w:sz="6" w:space="0"/>
                                    <w:left w:val="single" w:color="000000" w:sz="6" w:space="0"/>
                                    <w:bottom w:val="single" w:color="000000" w:sz="6" w:space="0"/>
                                    <w:right w:val="nil"/>
                                  </w:tcBorders>
                                </w:tcPr>
                                <w:p>
                                  <w:pPr>
                                    <w:pStyle w:val="11"/>
                                    <w:tabs>
                                      <w:tab w:val="left" w:pos="1692"/>
                                      <w:tab w:val="left" w:pos="2112"/>
                                    </w:tabs>
                                    <w:spacing w:before="1" w:line="242" w:lineRule="auto"/>
                                    <w:ind w:left="13" w:right="-130"/>
                                    <w:rPr>
                                      <w:sz w:val="21"/>
                                    </w:rPr>
                                  </w:pPr>
                                  <w:r>
                                    <w:rPr>
                                      <w:sz w:val="21"/>
                                    </w:rPr>
                                    <w:t>施工组织设计：</w:t>
                                  </w:r>
                                  <w:r>
                                    <w:rPr>
                                      <w:spacing w:val="100"/>
                                      <w:sz w:val="21"/>
                                      <w:u w:val="single"/>
                                    </w:rPr>
                                    <w:t xml:space="preserve"> </w:t>
                                  </w:r>
                                  <w:r>
                                    <w:rPr>
                                      <w:sz w:val="21"/>
                                      <w:u w:val="single"/>
                                    </w:rPr>
                                    <w:t>40</w:t>
                                  </w:r>
                                  <w:r>
                                    <w:rPr>
                                      <w:sz w:val="21"/>
                                      <w:u w:val="single"/>
                                    </w:rPr>
                                    <w:tab/>
                                  </w:r>
                                  <w:r>
                                    <w:rPr>
                                      <w:sz w:val="21"/>
                                      <w:u w:val="single"/>
                                    </w:rPr>
                                    <w:t xml:space="preserve"> </w:t>
                                  </w:r>
                                  <w:r>
                                    <w:rPr>
                                      <w:sz w:val="21"/>
                                    </w:rPr>
                                    <w:t>主要人员：</w:t>
                                  </w:r>
                                  <w:r>
                                    <w:rPr>
                                      <w:spacing w:val="102"/>
                                      <w:sz w:val="21"/>
                                      <w:u w:val="single"/>
                                    </w:rPr>
                                    <w:t xml:space="preserve"> </w:t>
                                  </w:r>
                                  <w:r>
                                    <w:rPr>
                                      <w:sz w:val="21"/>
                                      <w:u w:val="single"/>
                                    </w:rPr>
                                    <w:t>30</w:t>
                                  </w:r>
                                  <w:r>
                                    <w:rPr>
                                      <w:sz w:val="21"/>
                                      <w:u w:val="single"/>
                                    </w:rPr>
                                    <w:tab/>
                                  </w:r>
                                  <w:r>
                                    <w:rPr>
                                      <w:sz w:val="21"/>
                                    </w:rPr>
                                    <w:t>分 履约信誉：</w:t>
                                  </w:r>
                                  <w:r>
                                    <w:rPr>
                                      <w:spacing w:val="102"/>
                                      <w:sz w:val="21"/>
                                      <w:u w:val="single"/>
                                    </w:rPr>
                                    <w:t xml:space="preserve"> </w:t>
                                  </w:r>
                                  <w:r>
                                    <w:rPr>
                                      <w:sz w:val="21"/>
                                      <w:u w:val="single"/>
                                    </w:rPr>
                                    <w:t>25</w:t>
                                  </w:r>
                                  <w:r>
                                    <w:rPr>
                                      <w:sz w:val="21"/>
                                      <w:u w:val="single"/>
                                    </w:rPr>
                                    <w:tab/>
                                  </w:r>
                                  <w:r>
                                    <w:rPr>
                                      <w:sz w:val="21"/>
                                    </w:rPr>
                                    <w:t>分</w:t>
                                  </w:r>
                                </w:p>
                                <w:p>
                                  <w:pPr>
                                    <w:pStyle w:val="11"/>
                                    <w:tabs>
                                      <w:tab w:val="left" w:pos="1587"/>
                                    </w:tabs>
                                    <w:spacing w:before="1" w:line="252" w:lineRule="exact"/>
                                    <w:ind w:left="13"/>
                                    <w:rPr>
                                      <w:sz w:val="21"/>
                                    </w:rPr>
                                  </w:pPr>
                                  <w:r>
                                    <w:rPr>
                                      <w:sz w:val="21"/>
                                    </w:rPr>
                                    <w:t>企业业绩：</w:t>
                                  </w:r>
                                  <w:r>
                                    <w:rPr>
                                      <w:spacing w:val="102"/>
                                      <w:sz w:val="21"/>
                                      <w:u w:val="single"/>
                                    </w:rPr>
                                    <w:t xml:space="preserve"> </w:t>
                                  </w:r>
                                  <w:r>
                                    <w:rPr>
                                      <w:sz w:val="21"/>
                                      <w:u w:val="single"/>
                                    </w:rPr>
                                    <w:t>5</w:t>
                                  </w:r>
                                  <w:r>
                                    <w:rPr>
                                      <w:sz w:val="21"/>
                                      <w:u w:val="single"/>
                                    </w:rPr>
                                    <w:tab/>
                                  </w:r>
                                  <w:r>
                                    <w:rPr>
                                      <w:sz w:val="21"/>
                                    </w:rPr>
                                    <w:t>分</w:t>
                                  </w:r>
                                </w:p>
                              </w:tc>
                              <w:tc>
                                <w:tcPr>
                                  <w:tcW w:w="5149" w:type="dxa"/>
                                  <w:vMerge w:val="restart"/>
                                  <w:tcBorders>
                                    <w:top w:val="single" w:color="000000" w:sz="6" w:space="0"/>
                                    <w:left w:val="nil"/>
                                    <w:bottom w:val="single" w:color="000000" w:sz="6" w:space="0"/>
                                  </w:tcBorders>
                                </w:tcPr>
                                <w:p>
                                  <w:pPr>
                                    <w:pStyle w:val="11"/>
                                    <w:spacing w:before="1"/>
                                    <w:ind w:left="118"/>
                                    <w:rPr>
                                      <w:sz w:val="21"/>
                                    </w:rPr>
                                  </w:pPr>
                                  <w:r>
                                    <w:rPr>
                                      <w:w w:val="99"/>
                                      <w:sz w:val="21"/>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7" w:hRule="atLeast"/>
                              </w:trPr>
                              <w:tc>
                                <w:tcPr>
                                  <w:tcW w:w="874" w:type="dxa"/>
                                  <w:tcBorders>
                                    <w:top w:val="nil"/>
                                    <w:bottom w:val="nil"/>
                                    <w:right w:val="single" w:color="000000" w:sz="6" w:space="0"/>
                                  </w:tcBorders>
                                </w:tcPr>
                                <w:p>
                                  <w:pPr>
                                    <w:pStyle w:val="11"/>
                                    <w:spacing w:line="237" w:lineRule="exact"/>
                                    <w:ind w:left="126"/>
                                    <w:rPr>
                                      <w:sz w:val="21"/>
                                    </w:rPr>
                                  </w:pPr>
                                  <w:r>
                                    <w:rPr>
                                      <w:sz w:val="21"/>
                                    </w:rPr>
                                    <w:t>2.2.1</w:t>
                                  </w:r>
                                </w:p>
                              </w:tc>
                              <w:tc>
                                <w:tcPr>
                                  <w:tcW w:w="1613" w:type="dxa"/>
                                  <w:tcBorders>
                                    <w:top w:val="nil"/>
                                    <w:left w:val="single" w:color="000000" w:sz="6" w:space="0"/>
                                    <w:bottom w:val="nil"/>
                                    <w:right w:val="single" w:color="000000" w:sz="6" w:space="0"/>
                                  </w:tcBorders>
                                </w:tcPr>
                                <w:p>
                                  <w:pPr>
                                    <w:pStyle w:val="11"/>
                                    <w:spacing w:line="237" w:lineRule="exact"/>
                                    <w:ind w:left="126"/>
                                    <w:rPr>
                                      <w:sz w:val="21"/>
                                    </w:rPr>
                                  </w:pPr>
                                  <w:r>
                                    <w:rPr>
                                      <w:sz w:val="21"/>
                                    </w:rPr>
                                    <w:t>分值构成（总分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874" w:type="dxa"/>
                                  <w:tcBorders>
                                    <w:top w:val="nil"/>
                                    <w:bottom w:val="single" w:color="000000" w:sz="6" w:space="0"/>
                                    <w:right w:val="single" w:color="000000" w:sz="6" w:space="0"/>
                                  </w:tcBorders>
                                </w:tcPr>
                                <w:p>
                                  <w:pPr>
                                    <w:pStyle w:val="11"/>
                                    <w:rPr>
                                      <w:rFonts w:ascii="Times New Roman"/>
                                      <w:sz w:val="20"/>
                                    </w:rPr>
                                  </w:pPr>
                                </w:p>
                              </w:tc>
                              <w:tc>
                                <w:tcPr>
                                  <w:tcW w:w="1613" w:type="dxa"/>
                                  <w:tcBorders>
                                    <w:top w:val="nil"/>
                                    <w:left w:val="single" w:color="000000" w:sz="6" w:space="0"/>
                                    <w:bottom w:val="single" w:color="000000" w:sz="6" w:space="0"/>
                                    <w:right w:val="single" w:color="000000" w:sz="6" w:space="0"/>
                                  </w:tcBorders>
                                </w:tcPr>
                                <w:p>
                                  <w:pPr>
                                    <w:pStyle w:val="11"/>
                                    <w:spacing w:line="261" w:lineRule="exact"/>
                                    <w:ind w:left="126"/>
                                    <w:rPr>
                                      <w:sz w:val="21"/>
                                    </w:rPr>
                                  </w:pPr>
                                  <w:r>
                                    <w:rPr>
                                      <w:sz w:val="21"/>
                                    </w:rPr>
                                    <w:t>100 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1"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rPr>
                                      <w:rFonts w:ascii="Times New Roman"/>
                                      <w:sz w:val="20"/>
                                    </w:rPr>
                                  </w:pPr>
                                </w:p>
                              </w:tc>
                              <w:tc>
                                <w:tcPr>
                                  <w:tcW w:w="7151" w:type="dxa"/>
                                  <w:gridSpan w:val="2"/>
                                  <w:tcBorders>
                                    <w:top w:val="single" w:color="000000" w:sz="6" w:space="0"/>
                                    <w:left w:val="single" w:color="000000" w:sz="6" w:space="0"/>
                                    <w:bottom w:val="nil"/>
                                  </w:tcBorders>
                                </w:tcPr>
                                <w:p>
                                  <w:pPr>
                                    <w:pStyle w:val="11"/>
                                    <w:spacing w:before="121"/>
                                    <w:ind w:left="13"/>
                                    <w:rPr>
                                      <w:sz w:val="21"/>
                                    </w:rPr>
                                  </w:pPr>
                                  <w:r>
                                    <w:rPr>
                                      <w:sz w:val="21"/>
                                    </w:rPr>
                                    <w:t>评标价计算公式：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0"/>
                                    <w:ind w:left="13"/>
                                    <w:rPr>
                                      <w:sz w:val="21"/>
                                    </w:rPr>
                                  </w:pPr>
                                  <w:r>
                                    <w:rPr>
                                      <w:sz w:val="21"/>
                                    </w:rPr>
                                    <w:t>评标价=投标函文字报价-暂估价-暂列金额（不含计日工总额）。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ind w:left="13"/>
                                    <w:rPr>
                                      <w:sz w:val="21"/>
                                    </w:rPr>
                                  </w:pPr>
                                  <w:r>
                                    <w:rPr>
                                      <w:sz w:val="21"/>
                                    </w:rPr>
                                    <w:t>评审计算标准：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09" w:hRule="atLeast"/>
                              </w:trPr>
                              <w:tc>
                                <w:tcPr>
                                  <w:tcW w:w="874" w:type="dxa"/>
                                  <w:tcBorders>
                                    <w:top w:val="nil"/>
                                    <w:bottom w:val="nil"/>
                                    <w:right w:val="single" w:color="000000" w:sz="6" w:space="0"/>
                                  </w:tcBorders>
                                </w:tcPr>
                                <w:p>
                                  <w:pPr>
                                    <w:pStyle w:val="11"/>
                                    <w:rPr>
                                      <w:sz w:val="20"/>
                                    </w:rPr>
                                  </w:pPr>
                                </w:p>
                                <w:p>
                                  <w:pPr>
                                    <w:pStyle w:val="11"/>
                                    <w:rPr>
                                      <w:sz w:val="20"/>
                                    </w:rPr>
                                  </w:pPr>
                                </w:p>
                                <w:p>
                                  <w:pPr>
                                    <w:pStyle w:val="11"/>
                                    <w:rPr>
                                      <w:sz w:val="20"/>
                                    </w:rPr>
                                  </w:pPr>
                                </w:p>
                                <w:p>
                                  <w:pPr>
                                    <w:pStyle w:val="11"/>
                                    <w:spacing w:before="10"/>
                                    <w:rPr>
                                      <w:sz w:val="29"/>
                                    </w:rPr>
                                  </w:pPr>
                                </w:p>
                                <w:p>
                                  <w:pPr>
                                    <w:pStyle w:val="11"/>
                                    <w:ind w:left="121"/>
                                    <w:rPr>
                                      <w:sz w:val="21"/>
                                    </w:rPr>
                                  </w:pPr>
                                  <w:r>
                                    <w:rPr>
                                      <w:sz w:val="21"/>
                                    </w:rPr>
                                    <w:t>2.2.3</w:t>
                                  </w:r>
                                </w:p>
                              </w:tc>
                              <w:tc>
                                <w:tcPr>
                                  <w:tcW w:w="1613" w:type="dxa"/>
                                  <w:tcBorders>
                                    <w:top w:val="nil"/>
                                    <w:left w:val="single" w:color="000000" w:sz="6" w:space="0"/>
                                    <w:bottom w:val="nil"/>
                                    <w:right w:val="single" w:color="000000" w:sz="6" w:space="0"/>
                                  </w:tcBorders>
                                </w:tcPr>
                                <w:p>
                                  <w:pPr>
                                    <w:pStyle w:val="11"/>
                                    <w:rPr>
                                      <w:sz w:val="20"/>
                                    </w:rPr>
                                  </w:pPr>
                                </w:p>
                                <w:p>
                                  <w:pPr>
                                    <w:pStyle w:val="11"/>
                                    <w:rPr>
                                      <w:sz w:val="20"/>
                                    </w:rPr>
                                  </w:pPr>
                                </w:p>
                                <w:p>
                                  <w:pPr>
                                    <w:pStyle w:val="11"/>
                                    <w:rPr>
                                      <w:sz w:val="20"/>
                                    </w:rPr>
                                  </w:pPr>
                                </w:p>
                                <w:p>
                                  <w:pPr>
                                    <w:pStyle w:val="11"/>
                                    <w:spacing w:before="1"/>
                                    <w:rPr>
                                      <w:sz w:val="19"/>
                                    </w:rPr>
                                  </w:pPr>
                                </w:p>
                                <w:p>
                                  <w:pPr>
                                    <w:pStyle w:val="11"/>
                                    <w:spacing w:line="244" w:lineRule="auto"/>
                                    <w:ind w:left="13" w:right="-15"/>
                                    <w:rPr>
                                      <w:sz w:val="21"/>
                                    </w:rPr>
                                  </w:pPr>
                                  <w:r>
                                    <w:rPr>
                                      <w:spacing w:val="15"/>
                                      <w:sz w:val="21"/>
                                    </w:rPr>
                                    <w:t>评标基准价计算</w:t>
                                  </w:r>
                                  <w:r>
                                    <w:rPr>
                                      <w:sz w:val="21"/>
                                    </w:rPr>
                                    <w:t>方法</w:t>
                                  </w:r>
                                </w:p>
                              </w:tc>
                              <w:tc>
                                <w:tcPr>
                                  <w:tcW w:w="7151" w:type="dxa"/>
                                  <w:gridSpan w:val="2"/>
                                  <w:tcBorders>
                                    <w:top w:val="nil"/>
                                    <w:left w:val="single" w:color="000000" w:sz="6" w:space="0"/>
                                    <w:bottom w:val="nil"/>
                                  </w:tcBorders>
                                </w:tcPr>
                                <w:p>
                                  <w:pPr>
                                    <w:pStyle w:val="11"/>
                                    <w:spacing w:before="60" w:line="242" w:lineRule="auto"/>
                                    <w:ind w:left="13" w:right="-15"/>
                                    <w:jc w:val="both"/>
                                    <w:rPr>
                                      <w:sz w:val="21"/>
                                    </w:rPr>
                                  </w:pPr>
                                  <w:r>
                                    <w:rPr>
                                      <w:spacing w:val="-3"/>
                                      <w:w w:val="95"/>
                                      <w:sz w:val="21"/>
                                    </w:rPr>
                                    <w:t xml:space="preserve">步骤一：确定参与复合标底计算的投标人评标价范围。投标人的评标价介于招  </w:t>
                                  </w:r>
                                  <w:r>
                                    <w:rPr>
                                      <w:spacing w:val="-12"/>
                                      <w:sz w:val="21"/>
                                    </w:rPr>
                                    <w:t xml:space="preserve">标人评标价的 </w:t>
                                  </w:r>
                                  <w:r>
                                    <w:rPr>
                                      <w:sz w:val="21"/>
                                    </w:rPr>
                                    <w:t>100%（含</w:t>
                                  </w:r>
                                  <w:r>
                                    <w:rPr>
                                      <w:spacing w:val="-3"/>
                                      <w:sz w:val="21"/>
                                    </w:rPr>
                                    <w:t>）</w:t>
                                  </w:r>
                                  <w:r>
                                    <w:rPr>
                                      <w:spacing w:val="-31"/>
                                      <w:sz w:val="21"/>
                                    </w:rPr>
                                    <w:t xml:space="preserve">至 </w:t>
                                  </w:r>
                                  <w:r>
                                    <w:rPr>
                                      <w:sz w:val="21"/>
                                    </w:rPr>
                                    <w:t>94%（含</w:t>
                                  </w:r>
                                  <w:r>
                                    <w:rPr>
                                      <w:spacing w:val="-3"/>
                                      <w:sz w:val="21"/>
                                    </w:rPr>
                                    <w:t>）</w:t>
                                  </w:r>
                                  <w:r>
                                    <w:rPr>
                                      <w:sz w:val="21"/>
                                    </w:rPr>
                                    <w:t>之间的投标人评标价为有效报价，高于</w:t>
                                  </w:r>
                                  <w:r>
                                    <w:rPr>
                                      <w:spacing w:val="-2"/>
                                      <w:sz w:val="21"/>
                                    </w:rPr>
                                    <w:t xml:space="preserve">招标人评标价的投标评标价按废标处理，低于招标人评标价 </w:t>
                                  </w:r>
                                  <w:r>
                                    <w:rPr>
                                      <w:sz w:val="21"/>
                                    </w:rPr>
                                    <w:t>94%的投标评标价不参与复合标底计算，但不作为废标，参与第四步评审。</w:t>
                                  </w:r>
                                </w:p>
                                <w:p>
                                  <w:pPr>
                                    <w:pStyle w:val="11"/>
                                    <w:spacing w:before="123"/>
                                    <w:ind w:left="13"/>
                                    <w:rPr>
                                      <w:sz w:val="21"/>
                                    </w:rPr>
                                  </w:pPr>
                                  <w:r>
                                    <w:rPr>
                                      <w:sz w:val="21"/>
                                    </w:rPr>
                                    <w:t>步骤二：复合标底的计算方法。复合标底=A×K+B×（1-K）</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52" w:line="242" w:lineRule="auto"/>
                                    <w:ind w:left="13" w:right="-15"/>
                                    <w:jc w:val="both"/>
                                    <w:rPr>
                                      <w:sz w:val="21"/>
                                    </w:rPr>
                                  </w:pPr>
                                  <w:r>
                                    <w:rPr>
                                      <w:sz w:val="21"/>
                                    </w:rPr>
                                    <w:t>A</w:t>
                                  </w:r>
                                  <w:r>
                                    <w:rPr>
                                      <w:spacing w:val="-6"/>
                                      <w:sz w:val="21"/>
                                    </w:rPr>
                                    <w:t xml:space="preserve"> 值是招标人评标价；</w:t>
                                  </w:r>
                                  <w:r>
                                    <w:rPr>
                                      <w:sz w:val="21"/>
                                    </w:rPr>
                                    <w:t>B</w:t>
                                  </w:r>
                                  <w:r>
                                    <w:rPr>
                                      <w:spacing w:val="-5"/>
                                      <w:sz w:val="21"/>
                                    </w:rPr>
                                    <w:t xml:space="preserve"> 是参与复合标底计算的投标人评标价的算术平均值， </w:t>
                                  </w:r>
                                  <w:r>
                                    <w:rPr>
                                      <w:spacing w:val="-7"/>
                                      <w:sz w:val="21"/>
                                    </w:rPr>
                                    <w:t xml:space="preserve">若所有投标人评标价均不在招标人评标价的 </w:t>
                                  </w:r>
                                  <w:r>
                                    <w:rPr>
                                      <w:sz w:val="21"/>
                                    </w:rPr>
                                    <w:t>94%～100%</w:t>
                                  </w:r>
                                  <w:r>
                                    <w:rPr>
                                      <w:spacing w:val="-15"/>
                                      <w:sz w:val="21"/>
                                    </w:rPr>
                                    <w:t xml:space="preserve">，则 </w:t>
                                  </w:r>
                                  <w:r>
                                    <w:rPr>
                                      <w:sz w:val="21"/>
                                    </w:rPr>
                                    <w:t>B</w:t>
                                  </w:r>
                                  <w:r>
                                    <w:rPr>
                                      <w:spacing w:val="-7"/>
                                      <w:sz w:val="21"/>
                                    </w:rPr>
                                    <w:t xml:space="preserve"> 值取招标人评标</w:t>
                                  </w:r>
                                  <w:r>
                                    <w:rPr>
                                      <w:spacing w:val="-29"/>
                                      <w:sz w:val="21"/>
                                    </w:rPr>
                                    <w:t xml:space="preserve">价 </w:t>
                                  </w:r>
                                  <w:r>
                                    <w:rPr>
                                      <w:sz w:val="21"/>
                                    </w:rPr>
                                    <w:t>94%；K</w:t>
                                  </w:r>
                                  <w:r>
                                    <w:rPr>
                                      <w:spacing w:val="-25"/>
                                      <w:sz w:val="21"/>
                                    </w:rPr>
                                    <w:t xml:space="preserve"> 值在 </w:t>
                                  </w:r>
                                  <w:r>
                                    <w:rPr>
                                      <w:sz w:val="21"/>
                                    </w:rPr>
                                    <w:t>0.65、0.66</w:t>
                                  </w:r>
                                  <w:r>
                                    <w:rPr>
                                      <w:spacing w:val="4"/>
                                      <w:sz w:val="21"/>
                                    </w:rPr>
                                    <w:t>、</w:t>
                                  </w:r>
                                  <w:r>
                                    <w:rPr>
                                      <w:sz w:val="21"/>
                                    </w:rPr>
                                    <w:t>0.67</w:t>
                                  </w:r>
                                  <w:r>
                                    <w:rPr>
                                      <w:spacing w:val="4"/>
                                      <w:sz w:val="21"/>
                                    </w:rPr>
                                    <w:t>、</w:t>
                                  </w:r>
                                  <w:r>
                                    <w:rPr>
                                      <w:sz w:val="21"/>
                                    </w:rPr>
                                    <w:t>0.68、0.69</w:t>
                                  </w:r>
                                  <w:r>
                                    <w:rPr>
                                      <w:spacing w:val="-7"/>
                                      <w:sz w:val="21"/>
                                    </w:rPr>
                                    <w:t xml:space="preserve"> 五个数字中随机抽取。</w:t>
                                  </w:r>
                                  <w:r>
                                    <w:rPr>
                                      <w:sz w:val="21"/>
                                    </w:rPr>
                                    <w:t>（K</w:t>
                                  </w:r>
                                  <w:r>
                                    <w:rPr>
                                      <w:spacing w:val="-25"/>
                                      <w:sz w:val="21"/>
                                    </w:rPr>
                                    <w:t xml:space="preserve"> 值将在开标时抽取，并现场公证。K</w:t>
                                  </w:r>
                                  <w:r>
                                    <w:rPr>
                                      <w:spacing w:val="-8"/>
                                      <w:sz w:val="21"/>
                                    </w:rPr>
                                    <w:t xml:space="preserve"> 值只抽取一次，适用于所有标段。</w:t>
                                  </w: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3"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line="242" w:lineRule="auto"/>
                                    <w:ind w:left="13" w:right="-15"/>
                                    <w:rPr>
                                      <w:sz w:val="21"/>
                                    </w:rPr>
                                  </w:pPr>
                                  <w:r>
                                    <w:rPr>
                                      <w:spacing w:val="-5"/>
                                      <w:sz w:val="21"/>
                                    </w:rPr>
                                    <w:t xml:space="preserve">步骤三：确定合理价的范围。复合标底的 </w:t>
                                  </w:r>
                                  <w:r>
                                    <w:rPr>
                                      <w:sz w:val="21"/>
                                    </w:rPr>
                                    <w:t>96%（含）</w:t>
                                  </w:r>
                                  <w:r>
                                    <w:rPr>
                                      <w:spacing w:val="-33"/>
                                      <w:sz w:val="21"/>
                                    </w:rPr>
                                    <w:t xml:space="preserve">至 </w:t>
                                  </w:r>
                                  <w:r>
                                    <w:rPr>
                                      <w:sz w:val="21"/>
                                    </w:rPr>
                                    <w:t>102%（含），作为招标人接受的合理价范围。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0" w:hRule="atLeast"/>
                              </w:trPr>
                              <w:tc>
                                <w:tcPr>
                                  <w:tcW w:w="874" w:type="dxa"/>
                                  <w:tcBorders>
                                    <w:top w:val="nil"/>
                                    <w:right w:val="single" w:color="000000" w:sz="6" w:space="0"/>
                                  </w:tcBorders>
                                </w:tcPr>
                                <w:p>
                                  <w:pPr>
                                    <w:pStyle w:val="11"/>
                                    <w:rPr>
                                      <w:rFonts w:ascii="Times New Roman"/>
                                      <w:sz w:val="20"/>
                                    </w:rPr>
                                  </w:pPr>
                                </w:p>
                              </w:tc>
                              <w:tc>
                                <w:tcPr>
                                  <w:tcW w:w="1613" w:type="dxa"/>
                                  <w:tcBorders>
                                    <w:top w:val="nil"/>
                                    <w:left w:val="single" w:color="000000" w:sz="6" w:space="0"/>
                                    <w:right w:val="single" w:color="000000" w:sz="6" w:space="0"/>
                                  </w:tcBorders>
                                </w:tcPr>
                                <w:p>
                                  <w:pPr>
                                    <w:pStyle w:val="11"/>
                                    <w:rPr>
                                      <w:rFonts w:ascii="Times New Roman"/>
                                      <w:sz w:val="20"/>
                                    </w:rPr>
                                  </w:pPr>
                                </w:p>
                              </w:tc>
                              <w:tc>
                                <w:tcPr>
                                  <w:tcW w:w="7151" w:type="dxa"/>
                                  <w:gridSpan w:val="2"/>
                                  <w:tcBorders>
                                    <w:top w:val="nil"/>
                                    <w:left w:val="single" w:color="000000" w:sz="6" w:space="0"/>
                                  </w:tcBorders>
                                </w:tcPr>
                                <w:p>
                                  <w:pPr>
                                    <w:pStyle w:val="11"/>
                                    <w:spacing w:before="60" w:line="250" w:lineRule="exact"/>
                                    <w:ind w:left="13" w:right="-15"/>
                                    <w:rPr>
                                      <w:sz w:val="21"/>
                                    </w:rPr>
                                  </w:pPr>
                                  <w:r>
                                    <w:rPr>
                                      <w:spacing w:val="-2"/>
                                      <w:w w:val="95"/>
                                      <w:sz w:val="21"/>
                                    </w:rPr>
                                    <w:t>步骤四：确定中标候选人。合理价范围内</w:t>
                                  </w:r>
                                  <w:r>
                                    <w:rPr>
                                      <w:w w:val="95"/>
                                      <w:sz w:val="21"/>
                                    </w:rPr>
                                    <w:t>（或修正合理价范围内）评标价最低</w:t>
                                  </w:r>
                                </w:p>
                              </w:tc>
                            </w:tr>
                          </w:tbl>
                          <w:p>
                            <w:pPr>
                              <w:pStyle w:val="5"/>
                              <w:ind w:left="0"/>
                            </w:pPr>
                          </w:p>
                        </w:txbxContent>
                      </wps:txbx>
                      <wps:bodyPr lIns="0" tIns="0" rIns="0" bIns="0" upright="1"/>
                    </wps:wsp>
                  </a:graphicData>
                </a:graphic>
              </wp:anchor>
            </w:drawing>
          </mc:Choice>
          <mc:Fallback>
            <w:pict>
              <v:shape id="文本框 25" o:spid="_x0000_s1026" o:spt="202" type="#_x0000_t202" style="position:absolute;left:0pt;margin-left:66.45pt;margin-top:72pt;height:693.1pt;width:484.05pt;mso-position-horizontal-relative:page;mso-position-vertical-relative:page;z-index:251715584;mso-width-relative:page;mso-height-relative:page;" filled="f" stroked="f" coordsize="21600,21600" o:gfxdata="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NlIpAXZAAAADQEAAA8AAAAAAAAAAQAgAAAAIgAAAGRycy9kb3ducmV2Lnht&#10;bFBLAQIUABQAAAAIAIdO4kDeDaE2vwEAAHUDAAAOAAAAAAAAAAEAIAAAACgBAABkcnMvZTJvRG9j&#10;LnhtbFBLBQYAAAAABgAGAFkBAABZBQAAAAA=&#10;">
                <v:fill on="f" focussize="0,0"/>
                <v:stroke on="f"/>
                <v:imagedata o:title=""/>
                <o:lock v:ext="edit" aspectratio="f"/>
                <v:textbox inset="0mm,0mm,0mm,0mm">
                  <w:txbxContent>
                    <w:tbl>
                      <w:tblPr>
                        <w:tblStyle w:val="7"/>
                        <w:tblW w:w="0" w:type="auto"/>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2002"/>
                        <w:gridCol w:w="514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5160"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1" w:type="dxa"/>
                            <w:gridSpan w:val="2"/>
                            <w:tcBorders>
                              <w:left w:val="single" w:color="000000" w:sz="6" w:space="0"/>
                              <w:bottom w:val="single" w:color="000000" w:sz="6" w:space="0"/>
                            </w:tcBorders>
                          </w:tcPr>
                          <w:p>
                            <w:pPr>
                              <w:pStyle w:val="11"/>
                              <w:numPr>
                                <w:ilvl w:val="0"/>
                                <w:numId w:val="27"/>
                              </w:numPr>
                              <w:tabs>
                                <w:tab w:val="left" w:pos="225"/>
                              </w:tabs>
                              <w:spacing w:before="0" w:after="0" w:line="242" w:lineRule="auto"/>
                              <w:ind w:left="13" w:right="-29" w:firstLine="0"/>
                              <w:jc w:val="left"/>
                              <w:rPr>
                                <w:sz w:val="21"/>
                              </w:rPr>
                            </w:pPr>
                            <w:r>
                              <w:rPr>
                                <w:w w:val="95"/>
                                <w:sz w:val="21"/>
                              </w:rPr>
                              <w:t xml:space="preserve">投标函按招标文件规定填报了项目名称、合同段号、补遗书编号（如有）、  </w:t>
                            </w:r>
                            <w:r>
                              <w:rPr>
                                <w:sz w:val="21"/>
                              </w:rPr>
                              <w:t>投标价（包括大写金额和小写金额）；</w:t>
                            </w:r>
                          </w:p>
                          <w:p>
                            <w:pPr>
                              <w:pStyle w:val="11"/>
                              <w:numPr>
                                <w:ilvl w:val="0"/>
                                <w:numId w:val="27"/>
                              </w:numPr>
                              <w:tabs>
                                <w:tab w:val="left" w:pos="230"/>
                              </w:tabs>
                              <w:spacing w:before="0" w:after="0" w:line="244" w:lineRule="auto"/>
                              <w:ind w:left="13" w:right="-15" w:firstLine="0"/>
                              <w:jc w:val="left"/>
                              <w:rPr>
                                <w:sz w:val="21"/>
                              </w:rPr>
                            </w:pPr>
                            <w:r>
                              <w:rPr>
                                <w:spacing w:val="6"/>
                                <w:w w:val="95"/>
                                <w:sz w:val="21"/>
                              </w:rPr>
                              <w:t xml:space="preserve">已标价工程量清单说明文字与招标文件规定一致，未进行实质性修改和删  </w:t>
                            </w:r>
                            <w:r>
                              <w:rPr>
                                <w:sz w:val="21"/>
                              </w:rPr>
                              <w:t>减；</w:t>
                            </w:r>
                          </w:p>
                          <w:p>
                            <w:pPr>
                              <w:pStyle w:val="11"/>
                              <w:numPr>
                                <w:ilvl w:val="0"/>
                                <w:numId w:val="27"/>
                              </w:numPr>
                              <w:tabs>
                                <w:tab w:val="left" w:pos="225"/>
                              </w:tabs>
                              <w:spacing w:before="0" w:after="0" w:line="265" w:lineRule="exact"/>
                              <w:ind w:left="224" w:right="0" w:hanging="212"/>
                              <w:jc w:val="left"/>
                              <w:rPr>
                                <w:sz w:val="21"/>
                              </w:rPr>
                            </w:pPr>
                            <w:r>
                              <w:rPr>
                                <w:sz w:val="21"/>
                              </w:rPr>
                              <w:t>投标文件组成齐全完整，内容均按规定填写。</w:t>
                            </w:r>
                          </w:p>
                          <w:p>
                            <w:pPr>
                              <w:pStyle w:val="11"/>
                              <w:numPr>
                                <w:ilvl w:val="0"/>
                                <w:numId w:val="28"/>
                              </w:numPr>
                              <w:tabs>
                                <w:tab w:val="left" w:pos="538"/>
                              </w:tabs>
                              <w:spacing w:before="0" w:after="0" w:line="244" w:lineRule="auto"/>
                              <w:ind w:left="13" w:right="90" w:firstLine="0"/>
                              <w:jc w:val="left"/>
                              <w:rPr>
                                <w:sz w:val="21"/>
                              </w:rPr>
                            </w:pPr>
                            <w:r>
                              <w:rPr>
                                <w:spacing w:val="-1"/>
                                <w:w w:val="95"/>
                                <w:sz w:val="21"/>
                              </w:rPr>
                              <w:t xml:space="preserve">投标文件上法定表人或其委托代理人的签字、投标人的单位章盖章齐全  </w:t>
                            </w:r>
                            <w:r>
                              <w:rPr>
                                <w:spacing w:val="-1"/>
                                <w:sz w:val="21"/>
                              </w:rPr>
                              <w:t>符合招标文件规定。</w:t>
                            </w:r>
                          </w:p>
                          <w:p>
                            <w:pPr>
                              <w:pStyle w:val="11"/>
                              <w:numPr>
                                <w:ilvl w:val="0"/>
                                <w:numId w:val="28"/>
                              </w:numPr>
                              <w:tabs>
                                <w:tab w:val="left" w:pos="538"/>
                              </w:tabs>
                              <w:spacing w:before="0" w:after="0" w:line="265" w:lineRule="exact"/>
                              <w:ind w:left="537" w:right="0" w:hanging="525"/>
                              <w:jc w:val="left"/>
                              <w:rPr>
                                <w:sz w:val="21"/>
                              </w:rPr>
                            </w:pPr>
                            <w:r>
                              <w:rPr>
                                <w:spacing w:val="-2"/>
                                <w:sz w:val="21"/>
                              </w:rPr>
                              <w:t>投标报价或调价函中的报价未超过招标文件设定的最高投标限价</w:t>
                            </w:r>
                            <w:r>
                              <w:rPr>
                                <w:sz w:val="21"/>
                              </w:rPr>
                              <w:t>（如有</w:t>
                            </w:r>
                            <w:r>
                              <w:rPr>
                                <w:spacing w:val="-106"/>
                                <w:sz w:val="21"/>
                              </w:rPr>
                              <w:t>）</w:t>
                            </w:r>
                          </w:p>
                          <w:p>
                            <w:pPr>
                              <w:pStyle w:val="11"/>
                              <w:numPr>
                                <w:ilvl w:val="0"/>
                                <w:numId w:val="28"/>
                              </w:numPr>
                              <w:tabs>
                                <w:tab w:val="left" w:pos="538"/>
                              </w:tabs>
                              <w:spacing w:before="0" w:after="0" w:line="240" w:lineRule="auto"/>
                              <w:ind w:left="537" w:right="0" w:hanging="525"/>
                              <w:jc w:val="left"/>
                              <w:rPr>
                                <w:sz w:val="21"/>
                              </w:rPr>
                            </w:pPr>
                            <w:r>
                              <w:rPr>
                                <w:sz w:val="21"/>
                              </w:rPr>
                              <w:t>投标报价的大写金额能够确定具体数值。</w:t>
                            </w:r>
                          </w:p>
                          <w:p>
                            <w:pPr>
                              <w:pStyle w:val="11"/>
                              <w:numPr>
                                <w:ilvl w:val="0"/>
                                <w:numId w:val="28"/>
                              </w:numPr>
                              <w:tabs>
                                <w:tab w:val="left" w:pos="547"/>
                              </w:tabs>
                              <w:spacing w:before="0" w:after="0" w:line="242" w:lineRule="auto"/>
                              <w:ind w:left="13" w:right="-15" w:firstLine="0"/>
                              <w:jc w:val="left"/>
                              <w:rPr>
                                <w:sz w:val="21"/>
                              </w:rPr>
                            </w:pPr>
                            <w:r>
                              <w:rPr>
                                <w:sz w:val="21"/>
                              </w:rPr>
                              <w:t>同一投标人未提交两个以上不同的投标报价，但招标文件要求提交备选投标的除外。</w:t>
                            </w:r>
                          </w:p>
                          <w:p>
                            <w:pPr>
                              <w:pStyle w:val="11"/>
                              <w:numPr>
                                <w:ilvl w:val="0"/>
                                <w:numId w:val="28"/>
                              </w:numPr>
                              <w:tabs>
                                <w:tab w:val="left" w:pos="538"/>
                              </w:tabs>
                              <w:spacing w:before="0" w:after="0" w:line="242" w:lineRule="auto"/>
                              <w:ind w:left="13" w:right="-15" w:firstLine="0"/>
                              <w:jc w:val="left"/>
                              <w:rPr>
                                <w:sz w:val="21"/>
                              </w:rPr>
                            </w:pPr>
                            <w:r>
                              <w:rPr>
                                <w:spacing w:val="-12"/>
                                <w:sz w:val="21"/>
                              </w:rPr>
                              <w:t>投标人若提交调价函，调价函符合招标文件第二章“投标人须知”第3.2.6项要求。</w:t>
                            </w:r>
                          </w:p>
                          <w:p>
                            <w:pPr>
                              <w:pStyle w:val="11"/>
                              <w:numPr>
                                <w:ilvl w:val="0"/>
                                <w:numId w:val="28"/>
                              </w:numPr>
                              <w:tabs>
                                <w:tab w:val="left" w:pos="547"/>
                              </w:tabs>
                              <w:spacing w:before="0" w:after="0" w:line="242" w:lineRule="auto"/>
                              <w:ind w:left="13" w:right="-15" w:firstLine="0"/>
                              <w:jc w:val="both"/>
                              <w:rPr>
                                <w:sz w:val="21"/>
                              </w:rPr>
                            </w:pPr>
                            <w:r>
                              <w:rPr>
                                <w:sz w:val="21"/>
                              </w:rPr>
                              <w:t>投标人若填写工程量固化清单，填写完毕的工程量固化清单未对工程量</w:t>
                            </w:r>
                            <w:r>
                              <w:rPr>
                                <w:spacing w:val="-2"/>
                                <w:w w:val="95"/>
                                <w:sz w:val="21"/>
                              </w:rPr>
                              <w:t xml:space="preserve">固化清单电子文件中的数据、格式和运算定义进行修改；工程量固化清单中的  </w:t>
                            </w:r>
                            <w:r>
                              <w:rPr>
                                <w:spacing w:val="-2"/>
                                <w:sz w:val="21"/>
                              </w:rPr>
                              <w:t>投标报价和投标函大写金额报价一致。</w:t>
                            </w:r>
                          </w:p>
                          <w:p>
                            <w:pPr>
                              <w:pStyle w:val="11"/>
                              <w:numPr>
                                <w:ilvl w:val="0"/>
                                <w:numId w:val="28"/>
                              </w:numPr>
                              <w:tabs>
                                <w:tab w:val="left" w:pos="549"/>
                              </w:tabs>
                              <w:spacing w:before="0" w:after="0" w:line="242" w:lineRule="auto"/>
                              <w:ind w:left="13" w:right="-15" w:firstLine="0"/>
                              <w:jc w:val="both"/>
                              <w:rPr>
                                <w:sz w:val="21"/>
                              </w:rPr>
                            </w:pPr>
                            <w:r>
                              <w:rPr>
                                <w:spacing w:val="-2"/>
                                <w:sz w:val="21"/>
                              </w:rPr>
                              <w:t xml:space="preserve">投标文件正、副本份数符合招标文件第二章“投标人须知”第 </w:t>
                            </w:r>
                            <w:r>
                              <w:rPr>
                                <w:sz w:val="21"/>
                              </w:rPr>
                              <w:t>3.7.4</w:t>
                            </w:r>
                            <w:r>
                              <w:rPr>
                                <w:spacing w:val="-28"/>
                                <w:sz w:val="21"/>
                              </w:rPr>
                              <w:t xml:space="preserve"> 项规定。</w:t>
                            </w:r>
                          </w:p>
                          <w:p>
                            <w:pPr>
                              <w:pStyle w:val="11"/>
                              <w:numPr>
                                <w:ilvl w:val="0"/>
                                <w:numId w:val="28"/>
                              </w:numPr>
                              <w:tabs>
                                <w:tab w:val="left" w:pos="538"/>
                              </w:tabs>
                              <w:spacing w:before="2" w:after="0" w:line="252" w:lineRule="exact"/>
                              <w:ind w:left="537" w:right="0" w:hanging="525"/>
                              <w:jc w:val="left"/>
                              <w:rPr>
                                <w:sz w:val="21"/>
                              </w:rPr>
                            </w:pPr>
                            <w:r>
                              <w:rPr>
                                <w:sz w:val="21"/>
                              </w:rPr>
                              <w:t>投标工程量清单中的投标报价和投标函大写金额报价一致。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77" w:hRule="atLeast"/>
                        </w:trPr>
                        <w:tc>
                          <w:tcPr>
                            <w:tcW w:w="874" w:type="dxa"/>
                            <w:tcBorders>
                              <w:top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76"/>
                              <w:rPr>
                                <w:sz w:val="21"/>
                              </w:rPr>
                            </w:pPr>
                            <w:r>
                              <w:rPr>
                                <w:sz w:val="21"/>
                              </w:rPr>
                              <w:t>2.1.2</w:t>
                            </w:r>
                          </w:p>
                        </w:tc>
                        <w:tc>
                          <w:tcPr>
                            <w:tcW w:w="1613" w:type="dxa"/>
                            <w:tcBorders>
                              <w:top w:val="single" w:color="000000" w:sz="6" w:space="0"/>
                              <w:left w:val="single" w:color="000000" w:sz="6" w:space="0"/>
                              <w:bottom w:val="single" w:color="000000" w:sz="6" w:space="0"/>
                              <w:right w:val="single" w:color="000000" w:sz="6" w:space="0"/>
                            </w:tcBorders>
                          </w:tcPr>
                          <w:p>
                            <w:pPr>
                              <w:pStyle w:val="11"/>
                              <w:rPr>
                                <w:sz w:val="20"/>
                              </w:rPr>
                            </w:pPr>
                          </w:p>
                          <w:p>
                            <w:pPr>
                              <w:pStyle w:val="11"/>
                              <w:rPr>
                                <w:sz w:val="20"/>
                              </w:rPr>
                            </w:pPr>
                          </w:p>
                          <w:p>
                            <w:pPr>
                              <w:pStyle w:val="11"/>
                              <w:rPr>
                                <w:sz w:val="20"/>
                              </w:rPr>
                            </w:pPr>
                          </w:p>
                          <w:p>
                            <w:pPr>
                              <w:pStyle w:val="11"/>
                              <w:spacing w:before="2"/>
                              <w:rPr>
                                <w:sz w:val="14"/>
                              </w:rPr>
                            </w:pPr>
                          </w:p>
                          <w:p>
                            <w:pPr>
                              <w:pStyle w:val="11"/>
                              <w:spacing w:before="1"/>
                              <w:ind w:left="126"/>
                              <w:rPr>
                                <w:sz w:val="21"/>
                              </w:rPr>
                            </w:pPr>
                            <w:r>
                              <w:rPr>
                                <w:sz w:val="21"/>
                              </w:rPr>
                              <w:t>资格评审标准</w:t>
                            </w:r>
                          </w:p>
                        </w:tc>
                        <w:tc>
                          <w:tcPr>
                            <w:tcW w:w="7151" w:type="dxa"/>
                            <w:gridSpan w:val="2"/>
                            <w:tcBorders>
                              <w:top w:val="single" w:color="000000" w:sz="6" w:space="0"/>
                              <w:left w:val="single" w:color="000000" w:sz="6" w:space="0"/>
                              <w:bottom w:val="single" w:color="000000" w:sz="6" w:space="0"/>
                            </w:tcBorders>
                          </w:tcPr>
                          <w:p>
                            <w:pPr>
                              <w:pStyle w:val="11"/>
                              <w:numPr>
                                <w:ilvl w:val="0"/>
                                <w:numId w:val="29"/>
                              </w:numPr>
                              <w:tabs>
                                <w:tab w:val="left" w:pos="538"/>
                              </w:tabs>
                              <w:spacing w:before="0" w:after="0" w:line="242" w:lineRule="auto"/>
                              <w:ind w:left="13" w:right="97" w:firstLine="0"/>
                              <w:jc w:val="left"/>
                              <w:rPr>
                                <w:sz w:val="21"/>
                              </w:rPr>
                            </w:pPr>
                            <w:r>
                              <w:rPr>
                                <w:spacing w:val="-2"/>
                                <w:w w:val="95"/>
                                <w:sz w:val="21"/>
                              </w:rPr>
                              <w:t xml:space="preserve">投标人具备有效的营业执照、资质证书、安全生产许可证和基本账户开  </w:t>
                            </w:r>
                            <w:r>
                              <w:rPr>
                                <w:spacing w:val="-2"/>
                                <w:sz w:val="21"/>
                              </w:rPr>
                              <w:t>户许可证。</w:t>
                            </w:r>
                          </w:p>
                          <w:p>
                            <w:pPr>
                              <w:pStyle w:val="11"/>
                              <w:numPr>
                                <w:ilvl w:val="0"/>
                                <w:numId w:val="29"/>
                              </w:numPr>
                              <w:tabs>
                                <w:tab w:val="left" w:pos="538"/>
                              </w:tabs>
                              <w:spacing w:before="0" w:after="0" w:line="268" w:lineRule="exact"/>
                              <w:ind w:left="537" w:right="0" w:hanging="525"/>
                              <w:jc w:val="left"/>
                              <w:rPr>
                                <w:sz w:val="21"/>
                              </w:rPr>
                            </w:pPr>
                            <w:r>
                              <w:rPr>
                                <w:w w:val="95"/>
                                <w:sz w:val="21"/>
                              </w:rPr>
                              <w:t>投标人的资质等级符合招标文件规定。</w:t>
                            </w:r>
                          </w:p>
                          <w:p>
                            <w:pPr>
                              <w:pStyle w:val="11"/>
                              <w:numPr>
                                <w:ilvl w:val="0"/>
                                <w:numId w:val="29"/>
                              </w:numPr>
                              <w:tabs>
                                <w:tab w:val="left" w:pos="538"/>
                              </w:tabs>
                              <w:spacing w:before="5" w:after="0" w:line="240" w:lineRule="auto"/>
                              <w:ind w:left="537" w:right="0" w:hanging="525"/>
                              <w:jc w:val="left"/>
                              <w:rPr>
                                <w:sz w:val="21"/>
                              </w:rPr>
                            </w:pPr>
                            <w:r>
                              <w:rPr>
                                <w:w w:val="95"/>
                                <w:sz w:val="21"/>
                              </w:rPr>
                              <w:t>投标人的财务状况符合招标文件规定。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投标人的类似项目业绩符合招标文件规定。</w:t>
                            </w:r>
                          </w:p>
                          <w:p>
                            <w:pPr>
                              <w:pStyle w:val="11"/>
                              <w:numPr>
                                <w:ilvl w:val="0"/>
                                <w:numId w:val="29"/>
                              </w:numPr>
                              <w:tabs>
                                <w:tab w:val="left" w:pos="538"/>
                              </w:tabs>
                              <w:spacing w:before="3" w:after="0" w:line="240" w:lineRule="auto"/>
                              <w:ind w:left="537" w:right="0" w:hanging="525"/>
                              <w:jc w:val="left"/>
                              <w:rPr>
                                <w:sz w:val="21"/>
                              </w:rPr>
                            </w:pPr>
                            <w:r>
                              <w:rPr>
                                <w:sz w:val="21"/>
                              </w:rPr>
                              <w:t>投标人的信誉符合招标文件规定。</w:t>
                            </w:r>
                          </w:p>
                          <w:p>
                            <w:pPr>
                              <w:pStyle w:val="11"/>
                              <w:numPr>
                                <w:ilvl w:val="0"/>
                                <w:numId w:val="29"/>
                              </w:numPr>
                              <w:tabs>
                                <w:tab w:val="left" w:pos="538"/>
                              </w:tabs>
                              <w:spacing w:before="4" w:after="0" w:line="240" w:lineRule="auto"/>
                              <w:ind w:left="537" w:right="0" w:hanging="525"/>
                              <w:jc w:val="left"/>
                              <w:rPr>
                                <w:sz w:val="21"/>
                              </w:rPr>
                            </w:pPr>
                            <w:r>
                              <w:rPr>
                                <w:sz w:val="21"/>
                              </w:rPr>
                              <w:t>投标人的项目经理和项目总工资格、在岗情况符合招标文件规定。</w:t>
                            </w:r>
                          </w:p>
                          <w:p>
                            <w:pPr>
                              <w:pStyle w:val="11"/>
                              <w:numPr>
                                <w:ilvl w:val="0"/>
                                <w:numId w:val="29"/>
                              </w:numPr>
                              <w:tabs>
                                <w:tab w:val="left" w:pos="538"/>
                              </w:tabs>
                              <w:spacing w:before="2" w:after="0" w:line="252" w:lineRule="exact"/>
                              <w:ind w:left="537" w:right="0" w:hanging="525"/>
                              <w:jc w:val="left"/>
                              <w:rPr>
                                <w:sz w:val="21"/>
                              </w:rPr>
                            </w:pPr>
                            <w:r>
                              <w:rPr>
                                <w:sz w:val="21"/>
                              </w:rPr>
                              <w:t>投标人的其他要求符合招标文件规定。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trPr>
                        <w:tc>
                          <w:tcPr>
                            <w:tcW w:w="874" w:type="dxa"/>
                            <w:tcBorders>
                              <w:top w:val="single" w:color="000000" w:sz="6" w:space="0"/>
                              <w:bottom w:val="single" w:color="000000" w:sz="6" w:space="0"/>
                              <w:right w:val="single" w:color="000000" w:sz="6" w:space="0"/>
                            </w:tcBorders>
                          </w:tcPr>
                          <w:p>
                            <w:pPr>
                              <w:pStyle w:val="11"/>
                              <w:spacing w:before="1" w:line="252" w:lineRule="exact"/>
                              <w:ind w:left="124"/>
                              <w:rPr>
                                <w:b/>
                                <w:sz w:val="21"/>
                              </w:rPr>
                            </w:pPr>
                            <w:r>
                              <w:rPr>
                                <w:b/>
                                <w:sz w:val="21"/>
                              </w:rPr>
                              <w:t>条款号</w:t>
                            </w:r>
                          </w:p>
                        </w:tc>
                        <w:tc>
                          <w:tcPr>
                            <w:tcW w:w="1613" w:type="dxa"/>
                            <w:tcBorders>
                              <w:top w:val="single" w:color="000000" w:sz="6" w:space="0"/>
                              <w:left w:val="single" w:color="000000" w:sz="6" w:space="0"/>
                              <w:bottom w:val="single" w:color="000000" w:sz="6" w:space="0"/>
                              <w:right w:val="single" w:color="000000" w:sz="6" w:space="0"/>
                            </w:tcBorders>
                          </w:tcPr>
                          <w:p>
                            <w:pPr>
                              <w:pStyle w:val="11"/>
                              <w:spacing w:before="1" w:line="252" w:lineRule="exact"/>
                              <w:ind w:left="392"/>
                              <w:rPr>
                                <w:b/>
                                <w:sz w:val="21"/>
                              </w:rPr>
                            </w:pPr>
                            <w:r>
                              <w:rPr>
                                <w:b/>
                                <w:sz w:val="21"/>
                              </w:rPr>
                              <w:t>条款内容</w:t>
                            </w:r>
                          </w:p>
                        </w:tc>
                        <w:tc>
                          <w:tcPr>
                            <w:tcW w:w="7151" w:type="dxa"/>
                            <w:gridSpan w:val="2"/>
                            <w:tcBorders>
                              <w:top w:val="single" w:color="000000" w:sz="6" w:space="0"/>
                              <w:left w:val="single" w:color="000000" w:sz="6" w:space="0"/>
                              <w:bottom w:val="single" w:color="000000" w:sz="6" w:space="0"/>
                            </w:tcBorders>
                          </w:tcPr>
                          <w:p>
                            <w:pPr>
                              <w:pStyle w:val="11"/>
                              <w:spacing w:before="1" w:line="252" w:lineRule="exact"/>
                              <w:ind w:left="2974" w:right="2953"/>
                              <w:jc w:val="center"/>
                              <w:rPr>
                                <w:b/>
                                <w:sz w:val="21"/>
                              </w:rPr>
                            </w:pPr>
                            <w:r>
                              <w:rPr>
                                <w:b/>
                                <w:sz w:val="21"/>
                              </w:rPr>
                              <w:t>编 列 内 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8"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spacing w:before="135" w:line="243" w:lineRule="exact"/>
                              <w:ind w:left="126"/>
                              <w:rPr>
                                <w:sz w:val="21"/>
                              </w:rPr>
                            </w:pPr>
                            <w:r>
                              <w:rPr>
                                <w:sz w:val="21"/>
                              </w:rPr>
                              <w:t>第一部分评分</w:t>
                            </w:r>
                          </w:p>
                        </w:tc>
                        <w:tc>
                          <w:tcPr>
                            <w:tcW w:w="2002" w:type="dxa"/>
                            <w:vMerge w:val="restart"/>
                            <w:tcBorders>
                              <w:top w:val="single" w:color="000000" w:sz="6" w:space="0"/>
                              <w:left w:val="single" w:color="000000" w:sz="6" w:space="0"/>
                              <w:bottom w:val="single" w:color="000000" w:sz="6" w:space="0"/>
                              <w:right w:val="nil"/>
                            </w:tcBorders>
                          </w:tcPr>
                          <w:p>
                            <w:pPr>
                              <w:pStyle w:val="11"/>
                              <w:tabs>
                                <w:tab w:val="left" w:pos="1692"/>
                                <w:tab w:val="left" w:pos="2112"/>
                              </w:tabs>
                              <w:spacing w:before="1" w:line="242" w:lineRule="auto"/>
                              <w:ind w:left="13" w:right="-130"/>
                              <w:rPr>
                                <w:sz w:val="21"/>
                              </w:rPr>
                            </w:pPr>
                            <w:r>
                              <w:rPr>
                                <w:sz w:val="21"/>
                              </w:rPr>
                              <w:t>施工组织设计：</w:t>
                            </w:r>
                            <w:r>
                              <w:rPr>
                                <w:spacing w:val="100"/>
                                <w:sz w:val="21"/>
                                <w:u w:val="single"/>
                              </w:rPr>
                              <w:t xml:space="preserve"> </w:t>
                            </w:r>
                            <w:r>
                              <w:rPr>
                                <w:sz w:val="21"/>
                                <w:u w:val="single"/>
                              </w:rPr>
                              <w:t>40</w:t>
                            </w:r>
                            <w:r>
                              <w:rPr>
                                <w:sz w:val="21"/>
                                <w:u w:val="single"/>
                              </w:rPr>
                              <w:tab/>
                            </w:r>
                            <w:r>
                              <w:rPr>
                                <w:sz w:val="21"/>
                                <w:u w:val="single"/>
                              </w:rPr>
                              <w:t xml:space="preserve"> </w:t>
                            </w:r>
                            <w:r>
                              <w:rPr>
                                <w:sz w:val="21"/>
                              </w:rPr>
                              <w:t>主要人员：</w:t>
                            </w:r>
                            <w:r>
                              <w:rPr>
                                <w:spacing w:val="102"/>
                                <w:sz w:val="21"/>
                                <w:u w:val="single"/>
                              </w:rPr>
                              <w:t xml:space="preserve"> </w:t>
                            </w:r>
                            <w:r>
                              <w:rPr>
                                <w:sz w:val="21"/>
                                <w:u w:val="single"/>
                              </w:rPr>
                              <w:t>30</w:t>
                            </w:r>
                            <w:r>
                              <w:rPr>
                                <w:sz w:val="21"/>
                                <w:u w:val="single"/>
                              </w:rPr>
                              <w:tab/>
                            </w:r>
                            <w:r>
                              <w:rPr>
                                <w:sz w:val="21"/>
                              </w:rPr>
                              <w:t>分 履约信誉：</w:t>
                            </w:r>
                            <w:r>
                              <w:rPr>
                                <w:spacing w:val="102"/>
                                <w:sz w:val="21"/>
                                <w:u w:val="single"/>
                              </w:rPr>
                              <w:t xml:space="preserve"> </w:t>
                            </w:r>
                            <w:r>
                              <w:rPr>
                                <w:sz w:val="21"/>
                                <w:u w:val="single"/>
                              </w:rPr>
                              <w:t>25</w:t>
                            </w:r>
                            <w:r>
                              <w:rPr>
                                <w:sz w:val="21"/>
                                <w:u w:val="single"/>
                              </w:rPr>
                              <w:tab/>
                            </w:r>
                            <w:r>
                              <w:rPr>
                                <w:sz w:val="21"/>
                              </w:rPr>
                              <w:t>分</w:t>
                            </w:r>
                          </w:p>
                          <w:p>
                            <w:pPr>
                              <w:pStyle w:val="11"/>
                              <w:tabs>
                                <w:tab w:val="left" w:pos="1587"/>
                              </w:tabs>
                              <w:spacing w:before="1" w:line="252" w:lineRule="exact"/>
                              <w:ind w:left="13"/>
                              <w:rPr>
                                <w:sz w:val="21"/>
                              </w:rPr>
                            </w:pPr>
                            <w:r>
                              <w:rPr>
                                <w:sz w:val="21"/>
                              </w:rPr>
                              <w:t>企业业绩：</w:t>
                            </w:r>
                            <w:r>
                              <w:rPr>
                                <w:spacing w:val="102"/>
                                <w:sz w:val="21"/>
                                <w:u w:val="single"/>
                              </w:rPr>
                              <w:t xml:space="preserve"> </w:t>
                            </w:r>
                            <w:r>
                              <w:rPr>
                                <w:sz w:val="21"/>
                                <w:u w:val="single"/>
                              </w:rPr>
                              <w:t>5</w:t>
                            </w:r>
                            <w:r>
                              <w:rPr>
                                <w:sz w:val="21"/>
                                <w:u w:val="single"/>
                              </w:rPr>
                              <w:tab/>
                            </w:r>
                            <w:r>
                              <w:rPr>
                                <w:sz w:val="21"/>
                              </w:rPr>
                              <w:t>分</w:t>
                            </w:r>
                          </w:p>
                        </w:tc>
                        <w:tc>
                          <w:tcPr>
                            <w:tcW w:w="5149" w:type="dxa"/>
                            <w:vMerge w:val="restart"/>
                            <w:tcBorders>
                              <w:top w:val="single" w:color="000000" w:sz="6" w:space="0"/>
                              <w:left w:val="nil"/>
                              <w:bottom w:val="single" w:color="000000" w:sz="6" w:space="0"/>
                            </w:tcBorders>
                          </w:tcPr>
                          <w:p>
                            <w:pPr>
                              <w:pStyle w:val="11"/>
                              <w:spacing w:before="1"/>
                              <w:ind w:left="118"/>
                              <w:rPr>
                                <w:sz w:val="21"/>
                              </w:rPr>
                            </w:pPr>
                            <w:r>
                              <w:rPr>
                                <w:w w:val="99"/>
                                <w:sz w:val="21"/>
                              </w:rPr>
                              <w:t>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7" w:hRule="atLeast"/>
                        </w:trPr>
                        <w:tc>
                          <w:tcPr>
                            <w:tcW w:w="874" w:type="dxa"/>
                            <w:tcBorders>
                              <w:top w:val="nil"/>
                              <w:bottom w:val="nil"/>
                              <w:right w:val="single" w:color="000000" w:sz="6" w:space="0"/>
                            </w:tcBorders>
                          </w:tcPr>
                          <w:p>
                            <w:pPr>
                              <w:pStyle w:val="11"/>
                              <w:spacing w:line="237" w:lineRule="exact"/>
                              <w:ind w:left="126"/>
                              <w:rPr>
                                <w:sz w:val="21"/>
                              </w:rPr>
                            </w:pPr>
                            <w:r>
                              <w:rPr>
                                <w:sz w:val="21"/>
                              </w:rPr>
                              <w:t>2.2.1</w:t>
                            </w:r>
                          </w:p>
                        </w:tc>
                        <w:tc>
                          <w:tcPr>
                            <w:tcW w:w="1613" w:type="dxa"/>
                            <w:tcBorders>
                              <w:top w:val="nil"/>
                              <w:left w:val="single" w:color="000000" w:sz="6" w:space="0"/>
                              <w:bottom w:val="nil"/>
                              <w:right w:val="single" w:color="000000" w:sz="6" w:space="0"/>
                            </w:tcBorders>
                          </w:tcPr>
                          <w:p>
                            <w:pPr>
                              <w:pStyle w:val="11"/>
                              <w:spacing w:line="237" w:lineRule="exact"/>
                              <w:ind w:left="126"/>
                              <w:rPr>
                                <w:sz w:val="21"/>
                              </w:rPr>
                            </w:pPr>
                            <w:r>
                              <w:rPr>
                                <w:sz w:val="21"/>
                              </w:rPr>
                              <w:t>分值构成（总分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2" w:hRule="atLeast"/>
                        </w:trPr>
                        <w:tc>
                          <w:tcPr>
                            <w:tcW w:w="874" w:type="dxa"/>
                            <w:tcBorders>
                              <w:top w:val="nil"/>
                              <w:bottom w:val="single" w:color="000000" w:sz="6" w:space="0"/>
                              <w:right w:val="single" w:color="000000" w:sz="6" w:space="0"/>
                            </w:tcBorders>
                          </w:tcPr>
                          <w:p>
                            <w:pPr>
                              <w:pStyle w:val="11"/>
                              <w:rPr>
                                <w:rFonts w:ascii="Times New Roman"/>
                                <w:sz w:val="20"/>
                              </w:rPr>
                            </w:pPr>
                          </w:p>
                        </w:tc>
                        <w:tc>
                          <w:tcPr>
                            <w:tcW w:w="1613" w:type="dxa"/>
                            <w:tcBorders>
                              <w:top w:val="nil"/>
                              <w:left w:val="single" w:color="000000" w:sz="6" w:space="0"/>
                              <w:bottom w:val="single" w:color="000000" w:sz="6" w:space="0"/>
                              <w:right w:val="single" w:color="000000" w:sz="6" w:space="0"/>
                            </w:tcBorders>
                          </w:tcPr>
                          <w:p>
                            <w:pPr>
                              <w:pStyle w:val="11"/>
                              <w:spacing w:line="261" w:lineRule="exact"/>
                              <w:ind w:left="126"/>
                              <w:rPr>
                                <w:sz w:val="21"/>
                              </w:rPr>
                            </w:pPr>
                            <w:r>
                              <w:rPr>
                                <w:sz w:val="21"/>
                              </w:rPr>
                              <w:t>100 分）</w:t>
                            </w:r>
                          </w:p>
                        </w:tc>
                        <w:tc>
                          <w:tcPr>
                            <w:tcW w:w="2002" w:type="dxa"/>
                            <w:vMerge w:val="continue"/>
                            <w:tcBorders>
                              <w:top w:val="nil"/>
                              <w:left w:val="single" w:color="000000" w:sz="6" w:space="0"/>
                              <w:bottom w:val="single" w:color="000000" w:sz="6" w:space="0"/>
                              <w:right w:val="nil"/>
                            </w:tcBorders>
                          </w:tcPr>
                          <w:p>
                            <w:pPr>
                              <w:rPr>
                                <w:sz w:val="2"/>
                                <w:szCs w:val="2"/>
                              </w:rPr>
                            </w:pPr>
                          </w:p>
                        </w:tc>
                        <w:tc>
                          <w:tcPr>
                            <w:tcW w:w="5149" w:type="dxa"/>
                            <w:vMerge w:val="continue"/>
                            <w:tcBorders>
                              <w:top w:val="nil"/>
                              <w:left w:val="nil"/>
                              <w:bottom w:val="single" w:color="000000" w:sz="6" w:space="0"/>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1" w:hRule="atLeast"/>
                        </w:trPr>
                        <w:tc>
                          <w:tcPr>
                            <w:tcW w:w="874" w:type="dxa"/>
                            <w:tcBorders>
                              <w:top w:val="single" w:color="000000" w:sz="6" w:space="0"/>
                              <w:bottom w:val="nil"/>
                              <w:right w:val="single" w:color="000000" w:sz="6" w:space="0"/>
                            </w:tcBorders>
                          </w:tcPr>
                          <w:p>
                            <w:pPr>
                              <w:pStyle w:val="11"/>
                              <w:rPr>
                                <w:rFonts w:ascii="Times New Roman"/>
                                <w:sz w:val="20"/>
                              </w:rPr>
                            </w:pPr>
                          </w:p>
                        </w:tc>
                        <w:tc>
                          <w:tcPr>
                            <w:tcW w:w="1613" w:type="dxa"/>
                            <w:tcBorders>
                              <w:top w:val="single" w:color="000000" w:sz="6" w:space="0"/>
                              <w:left w:val="single" w:color="000000" w:sz="6" w:space="0"/>
                              <w:bottom w:val="nil"/>
                              <w:right w:val="single" w:color="000000" w:sz="6" w:space="0"/>
                            </w:tcBorders>
                          </w:tcPr>
                          <w:p>
                            <w:pPr>
                              <w:pStyle w:val="11"/>
                              <w:rPr>
                                <w:rFonts w:ascii="Times New Roman"/>
                                <w:sz w:val="20"/>
                              </w:rPr>
                            </w:pPr>
                          </w:p>
                        </w:tc>
                        <w:tc>
                          <w:tcPr>
                            <w:tcW w:w="7151" w:type="dxa"/>
                            <w:gridSpan w:val="2"/>
                            <w:tcBorders>
                              <w:top w:val="single" w:color="000000" w:sz="6" w:space="0"/>
                              <w:left w:val="single" w:color="000000" w:sz="6" w:space="0"/>
                              <w:bottom w:val="nil"/>
                            </w:tcBorders>
                          </w:tcPr>
                          <w:p>
                            <w:pPr>
                              <w:pStyle w:val="11"/>
                              <w:spacing w:before="121"/>
                              <w:ind w:left="13"/>
                              <w:rPr>
                                <w:sz w:val="21"/>
                              </w:rPr>
                            </w:pPr>
                            <w:r>
                              <w:rPr>
                                <w:sz w:val="21"/>
                              </w:rPr>
                              <w:t>评标价计算公式：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0"/>
                              <w:ind w:left="13"/>
                              <w:rPr>
                                <w:sz w:val="21"/>
                              </w:rPr>
                            </w:pPr>
                            <w:r>
                              <w:rPr>
                                <w:sz w:val="21"/>
                              </w:rPr>
                              <w:t>评标价=投标函文字报价-暂估价-暂列金额（不含计日工总额）。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9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ind w:left="13"/>
                              <w:rPr>
                                <w:sz w:val="21"/>
                              </w:rPr>
                            </w:pPr>
                            <w:r>
                              <w:rPr>
                                <w:sz w:val="21"/>
                              </w:rPr>
                              <w:t>评审计算标准：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09" w:hRule="atLeast"/>
                        </w:trPr>
                        <w:tc>
                          <w:tcPr>
                            <w:tcW w:w="874" w:type="dxa"/>
                            <w:tcBorders>
                              <w:top w:val="nil"/>
                              <w:bottom w:val="nil"/>
                              <w:right w:val="single" w:color="000000" w:sz="6" w:space="0"/>
                            </w:tcBorders>
                          </w:tcPr>
                          <w:p>
                            <w:pPr>
                              <w:pStyle w:val="11"/>
                              <w:rPr>
                                <w:sz w:val="20"/>
                              </w:rPr>
                            </w:pPr>
                          </w:p>
                          <w:p>
                            <w:pPr>
                              <w:pStyle w:val="11"/>
                              <w:rPr>
                                <w:sz w:val="20"/>
                              </w:rPr>
                            </w:pPr>
                          </w:p>
                          <w:p>
                            <w:pPr>
                              <w:pStyle w:val="11"/>
                              <w:rPr>
                                <w:sz w:val="20"/>
                              </w:rPr>
                            </w:pPr>
                          </w:p>
                          <w:p>
                            <w:pPr>
                              <w:pStyle w:val="11"/>
                              <w:spacing w:before="10"/>
                              <w:rPr>
                                <w:sz w:val="29"/>
                              </w:rPr>
                            </w:pPr>
                          </w:p>
                          <w:p>
                            <w:pPr>
                              <w:pStyle w:val="11"/>
                              <w:ind w:left="121"/>
                              <w:rPr>
                                <w:sz w:val="21"/>
                              </w:rPr>
                            </w:pPr>
                            <w:r>
                              <w:rPr>
                                <w:sz w:val="21"/>
                              </w:rPr>
                              <w:t>2.2.3</w:t>
                            </w:r>
                          </w:p>
                        </w:tc>
                        <w:tc>
                          <w:tcPr>
                            <w:tcW w:w="1613" w:type="dxa"/>
                            <w:tcBorders>
                              <w:top w:val="nil"/>
                              <w:left w:val="single" w:color="000000" w:sz="6" w:space="0"/>
                              <w:bottom w:val="nil"/>
                              <w:right w:val="single" w:color="000000" w:sz="6" w:space="0"/>
                            </w:tcBorders>
                          </w:tcPr>
                          <w:p>
                            <w:pPr>
                              <w:pStyle w:val="11"/>
                              <w:rPr>
                                <w:sz w:val="20"/>
                              </w:rPr>
                            </w:pPr>
                          </w:p>
                          <w:p>
                            <w:pPr>
                              <w:pStyle w:val="11"/>
                              <w:rPr>
                                <w:sz w:val="20"/>
                              </w:rPr>
                            </w:pPr>
                          </w:p>
                          <w:p>
                            <w:pPr>
                              <w:pStyle w:val="11"/>
                              <w:rPr>
                                <w:sz w:val="20"/>
                              </w:rPr>
                            </w:pPr>
                          </w:p>
                          <w:p>
                            <w:pPr>
                              <w:pStyle w:val="11"/>
                              <w:spacing w:before="1"/>
                              <w:rPr>
                                <w:sz w:val="19"/>
                              </w:rPr>
                            </w:pPr>
                          </w:p>
                          <w:p>
                            <w:pPr>
                              <w:pStyle w:val="11"/>
                              <w:spacing w:line="244" w:lineRule="auto"/>
                              <w:ind w:left="13" w:right="-15"/>
                              <w:rPr>
                                <w:sz w:val="21"/>
                              </w:rPr>
                            </w:pPr>
                            <w:r>
                              <w:rPr>
                                <w:spacing w:val="15"/>
                                <w:sz w:val="21"/>
                              </w:rPr>
                              <w:t>评标基准价计算</w:t>
                            </w:r>
                            <w:r>
                              <w:rPr>
                                <w:sz w:val="21"/>
                              </w:rPr>
                              <w:t>方法</w:t>
                            </w:r>
                          </w:p>
                        </w:tc>
                        <w:tc>
                          <w:tcPr>
                            <w:tcW w:w="7151" w:type="dxa"/>
                            <w:gridSpan w:val="2"/>
                            <w:tcBorders>
                              <w:top w:val="nil"/>
                              <w:left w:val="single" w:color="000000" w:sz="6" w:space="0"/>
                              <w:bottom w:val="nil"/>
                            </w:tcBorders>
                          </w:tcPr>
                          <w:p>
                            <w:pPr>
                              <w:pStyle w:val="11"/>
                              <w:spacing w:before="60" w:line="242" w:lineRule="auto"/>
                              <w:ind w:left="13" w:right="-15"/>
                              <w:jc w:val="both"/>
                              <w:rPr>
                                <w:sz w:val="21"/>
                              </w:rPr>
                            </w:pPr>
                            <w:r>
                              <w:rPr>
                                <w:spacing w:val="-3"/>
                                <w:w w:val="95"/>
                                <w:sz w:val="21"/>
                              </w:rPr>
                              <w:t xml:space="preserve">步骤一：确定参与复合标底计算的投标人评标价范围。投标人的评标价介于招  </w:t>
                            </w:r>
                            <w:r>
                              <w:rPr>
                                <w:spacing w:val="-12"/>
                                <w:sz w:val="21"/>
                              </w:rPr>
                              <w:t xml:space="preserve">标人评标价的 </w:t>
                            </w:r>
                            <w:r>
                              <w:rPr>
                                <w:sz w:val="21"/>
                              </w:rPr>
                              <w:t>100%（含</w:t>
                            </w:r>
                            <w:r>
                              <w:rPr>
                                <w:spacing w:val="-3"/>
                                <w:sz w:val="21"/>
                              </w:rPr>
                              <w:t>）</w:t>
                            </w:r>
                            <w:r>
                              <w:rPr>
                                <w:spacing w:val="-31"/>
                                <w:sz w:val="21"/>
                              </w:rPr>
                              <w:t xml:space="preserve">至 </w:t>
                            </w:r>
                            <w:r>
                              <w:rPr>
                                <w:sz w:val="21"/>
                              </w:rPr>
                              <w:t>94%（含</w:t>
                            </w:r>
                            <w:r>
                              <w:rPr>
                                <w:spacing w:val="-3"/>
                                <w:sz w:val="21"/>
                              </w:rPr>
                              <w:t>）</w:t>
                            </w:r>
                            <w:r>
                              <w:rPr>
                                <w:sz w:val="21"/>
                              </w:rPr>
                              <w:t>之间的投标人评标价为有效报价，高于</w:t>
                            </w:r>
                            <w:r>
                              <w:rPr>
                                <w:spacing w:val="-2"/>
                                <w:sz w:val="21"/>
                              </w:rPr>
                              <w:t xml:space="preserve">招标人评标价的投标评标价按废标处理，低于招标人评标价 </w:t>
                            </w:r>
                            <w:r>
                              <w:rPr>
                                <w:sz w:val="21"/>
                              </w:rPr>
                              <w:t>94%的投标评标价不参与复合标底计算，但不作为废标，参与第四步评审。</w:t>
                            </w:r>
                          </w:p>
                          <w:p>
                            <w:pPr>
                              <w:pStyle w:val="11"/>
                              <w:spacing w:before="123"/>
                              <w:ind w:left="13"/>
                              <w:rPr>
                                <w:sz w:val="21"/>
                              </w:rPr>
                            </w:pPr>
                            <w:r>
                              <w:rPr>
                                <w:sz w:val="21"/>
                              </w:rPr>
                              <w:t>步骤二：复合标底的计算方法。复合标底=A×K+B×（1-K）</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2"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52" w:line="242" w:lineRule="auto"/>
                              <w:ind w:left="13" w:right="-15"/>
                              <w:jc w:val="both"/>
                              <w:rPr>
                                <w:sz w:val="21"/>
                              </w:rPr>
                            </w:pPr>
                            <w:r>
                              <w:rPr>
                                <w:sz w:val="21"/>
                              </w:rPr>
                              <w:t>A</w:t>
                            </w:r>
                            <w:r>
                              <w:rPr>
                                <w:spacing w:val="-6"/>
                                <w:sz w:val="21"/>
                              </w:rPr>
                              <w:t xml:space="preserve"> 值是招标人评标价；</w:t>
                            </w:r>
                            <w:r>
                              <w:rPr>
                                <w:sz w:val="21"/>
                              </w:rPr>
                              <w:t>B</w:t>
                            </w:r>
                            <w:r>
                              <w:rPr>
                                <w:spacing w:val="-5"/>
                                <w:sz w:val="21"/>
                              </w:rPr>
                              <w:t xml:space="preserve"> 是参与复合标底计算的投标人评标价的算术平均值， </w:t>
                            </w:r>
                            <w:r>
                              <w:rPr>
                                <w:spacing w:val="-7"/>
                                <w:sz w:val="21"/>
                              </w:rPr>
                              <w:t xml:space="preserve">若所有投标人评标价均不在招标人评标价的 </w:t>
                            </w:r>
                            <w:r>
                              <w:rPr>
                                <w:sz w:val="21"/>
                              </w:rPr>
                              <w:t>94%～100%</w:t>
                            </w:r>
                            <w:r>
                              <w:rPr>
                                <w:spacing w:val="-15"/>
                                <w:sz w:val="21"/>
                              </w:rPr>
                              <w:t xml:space="preserve">，则 </w:t>
                            </w:r>
                            <w:r>
                              <w:rPr>
                                <w:sz w:val="21"/>
                              </w:rPr>
                              <w:t>B</w:t>
                            </w:r>
                            <w:r>
                              <w:rPr>
                                <w:spacing w:val="-7"/>
                                <w:sz w:val="21"/>
                              </w:rPr>
                              <w:t xml:space="preserve"> 值取招标人评标</w:t>
                            </w:r>
                            <w:r>
                              <w:rPr>
                                <w:spacing w:val="-29"/>
                                <w:sz w:val="21"/>
                              </w:rPr>
                              <w:t xml:space="preserve">价 </w:t>
                            </w:r>
                            <w:r>
                              <w:rPr>
                                <w:sz w:val="21"/>
                              </w:rPr>
                              <w:t>94%；K</w:t>
                            </w:r>
                            <w:r>
                              <w:rPr>
                                <w:spacing w:val="-25"/>
                                <w:sz w:val="21"/>
                              </w:rPr>
                              <w:t xml:space="preserve"> 值在 </w:t>
                            </w:r>
                            <w:r>
                              <w:rPr>
                                <w:sz w:val="21"/>
                              </w:rPr>
                              <w:t>0.65、0.66</w:t>
                            </w:r>
                            <w:r>
                              <w:rPr>
                                <w:spacing w:val="4"/>
                                <w:sz w:val="21"/>
                              </w:rPr>
                              <w:t>、</w:t>
                            </w:r>
                            <w:r>
                              <w:rPr>
                                <w:sz w:val="21"/>
                              </w:rPr>
                              <w:t>0.67</w:t>
                            </w:r>
                            <w:r>
                              <w:rPr>
                                <w:spacing w:val="4"/>
                                <w:sz w:val="21"/>
                              </w:rPr>
                              <w:t>、</w:t>
                            </w:r>
                            <w:r>
                              <w:rPr>
                                <w:sz w:val="21"/>
                              </w:rPr>
                              <w:t>0.68、0.69</w:t>
                            </w:r>
                            <w:r>
                              <w:rPr>
                                <w:spacing w:val="-7"/>
                                <w:sz w:val="21"/>
                              </w:rPr>
                              <w:t xml:space="preserve"> 五个数字中随机抽取。</w:t>
                            </w:r>
                            <w:r>
                              <w:rPr>
                                <w:sz w:val="21"/>
                              </w:rPr>
                              <w:t>（K</w:t>
                            </w:r>
                            <w:r>
                              <w:rPr>
                                <w:spacing w:val="-25"/>
                                <w:sz w:val="21"/>
                              </w:rPr>
                              <w:t xml:space="preserve"> 值将在开标时抽取，并现场公证。K</w:t>
                            </w:r>
                            <w:r>
                              <w:rPr>
                                <w:spacing w:val="-8"/>
                                <w:sz w:val="21"/>
                              </w:rPr>
                              <w:t xml:space="preserve"> 值只抽取一次，适用于所有标段。</w:t>
                            </w: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3" w:hRule="atLeast"/>
                        </w:trPr>
                        <w:tc>
                          <w:tcPr>
                            <w:tcW w:w="874" w:type="dxa"/>
                            <w:tcBorders>
                              <w:top w:val="nil"/>
                              <w:bottom w:val="nil"/>
                              <w:right w:val="single" w:color="000000" w:sz="6" w:space="0"/>
                            </w:tcBorders>
                          </w:tcPr>
                          <w:p>
                            <w:pPr>
                              <w:pStyle w:val="11"/>
                              <w:rPr>
                                <w:rFonts w:ascii="Times New Roman"/>
                                <w:sz w:val="20"/>
                              </w:rPr>
                            </w:pPr>
                          </w:p>
                        </w:tc>
                        <w:tc>
                          <w:tcPr>
                            <w:tcW w:w="1613" w:type="dxa"/>
                            <w:tcBorders>
                              <w:top w:val="nil"/>
                              <w:left w:val="single" w:color="000000" w:sz="6" w:space="0"/>
                              <w:bottom w:val="nil"/>
                              <w:right w:val="single" w:color="000000" w:sz="6" w:space="0"/>
                            </w:tcBorders>
                          </w:tcPr>
                          <w:p>
                            <w:pPr>
                              <w:pStyle w:val="11"/>
                              <w:rPr>
                                <w:rFonts w:ascii="Times New Roman"/>
                                <w:sz w:val="20"/>
                              </w:rPr>
                            </w:pPr>
                          </w:p>
                        </w:tc>
                        <w:tc>
                          <w:tcPr>
                            <w:tcW w:w="7151" w:type="dxa"/>
                            <w:gridSpan w:val="2"/>
                            <w:tcBorders>
                              <w:top w:val="nil"/>
                              <w:left w:val="single" w:color="000000" w:sz="6" w:space="0"/>
                              <w:bottom w:val="nil"/>
                            </w:tcBorders>
                          </w:tcPr>
                          <w:p>
                            <w:pPr>
                              <w:pStyle w:val="11"/>
                              <w:spacing w:before="62" w:line="242" w:lineRule="auto"/>
                              <w:ind w:left="13" w:right="-15"/>
                              <w:rPr>
                                <w:sz w:val="21"/>
                              </w:rPr>
                            </w:pPr>
                            <w:r>
                              <w:rPr>
                                <w:spacing w:val="-5"/>
                                <w:sz w:val="21"/>
                              </w:rPr>
                              <w:t xml:space="preserve">步骤三：确定合理价的范围。复合标底的 </w:t>
                            </w:r>
                            <w:r>
                              <w:rPr>
                                <w:sz w:val="21"/>
                              </w:rPr>
                              <w:t>96%（含）</w:t>
                            </w:r>
                            <w:r>
                              <w:rPr>
                                <w:spacing w:val="-33"/>
                                <w:sz w:val="21"/>
                              </w:rPr>
                              <w:t xml:space="preserve">至 </w:t>
                            </w:r>
                            <w:r>
                              <w:rPr>
                                <w:sz w:val="21"/>
                              </w:rPr>
                              <w:t>102%（含），作为招标人接受的合理价范围。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0" w:hRule="atLeast"/>
                        </w:trPr>
                        <w:tc>
                          <w:tcPr>
                            <w:tcW w:w="874" w:type="dxa"/>
                            <w:tcBorders>
                              <w:top w:val="nil"/>
                              <w:right w:val="single" w:color="000000" w:sz="6" w:space="0"/>
                            </w:tcBorders>
                          </w:tcPr>
                          <w:p>
                            <w:pPr>
                              <w:pStyle w:val="11"/>
                              <w:rPr>
                                <w:rFonts w:ascii="Times New Roman"/>
                                <w:sz w:val="20"/>
                              </w:rPr>
                            </w:pPr>
                          </w:p>
                        </w:tc>
                        <w:tc>
                          <w:tcPr>
                            <w:tcW w:w="1613" w:type="dxa"/>
                            <w:tcBorders>
                              <w:top w:val="nil"/>
                              <w:left w:val="single" w:color="000000" w:sz="6" w:space="0"/>
                              <w:right w:val="single" w:color="000000" w:sz="6" w:space="0"/>
                            </w:tcBorders>
                          </w:tcPr>
                          <w:p>
                            <w:pPr>
                              <w:pStyle w:val="11"/>
                              <w:rPr>
                                <w:rFonts w:ascii="Times New Roman"/>
                                <w:sz w:val="20"/>
                              </w:rPr>
                            </w:pPr>
                          </w:p>
                        </w:tc>
                        <w:tc>
                          <w:tcPr>
                            <w:tcW w:w="7151" w:type="dxa"/>
                            <w:gridSpan w:val="2"/>
                            <w:tcBorders>
                              <w:top w:val="nil"/>
                              <w:left w:val="single" w:color="000000" w:sz="6" w:space="0"/>
                            </w:tcBorders>
                          </w:tcPr>
                          <w:p>
                            <w:pPr>
                              <w:pStyle w:val="11"/>
                              <w:spacing w:before="60" w:line="250" w:lineRule="exact"/>
                              <w:ind w:left="13" w:right="-15"/>
                              <w:rPr>
                                <w:sz w:val="21"/>
                              </w:rPr>
                            </w:pPr>
                            <w:r>
                              <w:rPr>
                                <w:spacing w:val="-2"/>
                                <w:w w:val="95"/>
                                <w:sz w:val="21"/>
                              </w:rPr>
                              <w:t>步骤四：确定中标候选人。合理价范围内</w:t>
                            </w:r>
                            <w:r>
                              <w:rPr>
                                <w:w w:val="95"/>
                                <w:sz w:val="21"/>
                              </w:rPr>
                              <w:t>（或修正合理价范围内）评标价最低</w:t>
                            </w:r>
                          </w:p>
                        </w:tc>
                      </w:tr>
                    </w:tbl>
                    <w:p>
                      <w:pPr>
                        <w:pStyle w:val="5"/>
                        <w:ind w:left="0"/>
                      </w:pPr>
                    </w:p>
                  </w:txbxContent>
                </v:textbox>
              </v:shape>
            </w:pict>
          </mc:Fallback>
        </mc:AlternateContent>
      </w:r>
    </w:p>
    <w:p>
      <w:pPr>
        <w:pStyle w:val="5"/>
        <w:ind w:left="0"/>
        <w:rPr>
          <w:sz w:val="20"/>
        </w:rPr>
      </w:pPr>
    </w:p>
    <w:p>
      <w:pPr>
        <w:pStyle w:val="5"/>
        <w:ind w:left="0"/>
        <w:rPr>
          <w:sz w:val="20"/>
        </w:rPr>
      </w:pPr>
    </w:p>
    <w:p>
      <w:pPr>
        <w:pStyle w:val="5"/>
        <w:ind w:left="0"/>
        <w:rPr>
          <w:sz w:val="20"/>
        </w:rPr>
      </w:pPr>
    </w:p>
    <w:p>
      <w:pPr>
        <w:pStyle w:val="5"/>
        <w:spacing w:before="9"/>
        <w:ind w:left="0"/>
        <w:rPr>
          <w:sz w:val="26"/>
        </w:rPr>
      </w:pPr>
    </w:p>
    <w:p>
      <w:pPr>
        <w:spacing w:before="70"/>
        <w:ind w:left="0" w:right="117" w:firstLine="0"/>
        <w:jc w:val="right"/>
        <w:rPr>
          <w:sz w:val="21"/>
        </w:rPr>
      </w:pPr>
      <w:r>
        <w:rPr>
          <w:w w:val="99"/>
          <w:sz w:val="21"/>
        </w:rPr>
        <w:t>，</w:t>
      </w:r>
    </w:p>
    <w:p>
      <w:pPr>
        <w:pStyle w:val="5"/>
        <w:spacing w:before="6"/>
        <w:ind w:left="0"/>
        <w:rPr>
          <w:sz w:val="21"/>
        </w:rPr>
      </w:pPr>
    </w:p>
    <w:p>
      <w:pPr>
        <w:spacing w:before="0"/>
        <w:ind w:left="0" w:right="117" w:firstLine="0"/>
        <w:jc w:val="right"/>
        <w:rPr>
          <w:sz w:val="21"/>
        </w:rPr>
      </w:pPr>
      <w:r>
        <w:rPr>
          <w:w w:val="99"/>
          <w:sz w:val="21"/>
        </w:rPr>
        <w:t>。</w:t>
      </w:r>
    </w:p>
    <w:p>
      <w:pPr>
        <w:spacing w:after="0"/>
        <w:jc w:val="right"/>
        <w:rPr>
          <w:sz w:val="21"/>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53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4"/>
        <w:gridCol w:w="1613"/>
        <w:gridCol w:w="71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94" w:hRule="atLeast"/>
        </w:trPr>
        <w:tc>
          <w:tcPr>
            <w:tcW w:w="874" w:type="dxa"/>
            <w:tcBorders>
              <w:bottom w:val="single" w:color="000000" w:sz="6" w:space="0"/>
              <w:right w:val="single" w:color="000000" w:sz="6" w:space="0"/>
            </w:tcBorders>
          </w:tcPr>
          <w:p>
            <w:pPr>
              <w:pStyle w:val="11"/>
              <w:rPr>
                <w:rFonts w:ascii="Times New Roman"/>
                <w:sz w:val="20"/>
              </w:rPr>
            </w:pPr>
          </w:p>
        </w:tc>
        <w:tc>
          <w:tcPr>
            <w:tcW w:w="1613" w:type="dxa"/>
            <w:tcBorders>
              <w:left w:val="single" w:color="000000" w:sz="6" w:space="0"/>
              <w:bottom w:val="single" w:color="000000" w:sz="6" w:space="0"/>
              <w:right w:val="single" w:color="000000" w:sz="6" w:space="0"/>
            </w:tcBorders>
          </w:tcPr>
          <w:p>
            <w:pPr>
              <w:pStyle w:val="11"/>
              <w:rPr>
                <w:rFonts w:ascii="Times New Roman"/>
                <w:sz w:val="20"/>
              </w:rPr>
            </w:pPr>
          </w:p>
        </w:tc>
        <w:tc>
          <w:tcPr>
            <w:tcW w:w="7150" w:type="dxa"/>
            <w:tcBorders>
              <w:left w:val="single" w:color="000000" w:sz="6" w:space="0"/>
              <w:bottom w:val="single" w:color="000000" w:sz="6" w:space="0"/>
            </w:tcBorders>
          </w:tcPr>
          <w:p>
            <w:pPr>
              <w:pStyle w:val="11"/>
              <w:spacing w:line="242" w:lineRule="auto"/>
              <w:ind w:left="13" w:right="-15"/>
              <w:jc w:val="both"/>
              <w:rPr>
                <w:sz w:val="21"/>
              </w:rPr>
            </w:pPr>
            <w:r>
              <w:rPr>
                <w:spacing w:val="-2"/>
                <w:w w:val="95"/>
                <w:sz w:val="21"/>
              </w:rPr>
              <w:t>的投标人中标。若投标人评标价在合理价范围内的投标人数量不足两家</w:t>
            </w:r>
            <w:r>
              <w:rPr>
                <w:w w:val="95"/>
                <w:sz w:val="21"/>
              </w:rPr>
              <w:t xml:space="preserve">（不含  </w:t>
            </w:r>
            <w:r>
              <w:rPr>
                <w:sz w:val="21"/>
              </w:rPr>
              <w:t>两家</w:t>
            </w:r>
            <w:r>
              <w:rPr>
                <w:spacing w:val="-15"/>
                <w:sz w:val="21"/>
              </w:rPr>
              <w:t>）</w:t>
            </w:r>
            <w:r>
              <w:rPr>
                <w:spacing w:val="-8"/>
                <w:sz w:val="21"/>
              </w:rPr>
              <w:t xml:space="preserve">的，修正复合标底的合理价范围下限，每次下调 </w:t>
            </w:r>
            <w:r>
              <w:rPr>
                <w:spacing w:val="-3"/>
                <w:sz w:val="21"/>
              </w:rPr>
              <w:t>0.5</w:t>
            </w:r>
            <w:r>
              <w:rPr>
                <w:spacing w:val="-2"/>
                <w:sz w:val="21"/>
              </w:rPr>
              <w:t>%，直至投标人评标</w:t>
            </w:r>
            <w:r>
              <w:rPr>
                <w:spacing w:val="-7"/>
                <w:sz w:val="21"/>
              </w:rPr>
              <w:t>价在合理价范围内的投标人数量不少于两家</w:t>
            </w:r>
            <w:r>
              <w:rPr>
                <w:sz w:val="21"/>
              </w:rPr>
              <w:t>（含两家</w:t>
            </w:r>
            <w:r>
              <w:rPr>
                <w:spacing w:val="-94"/>
                <w:sz w:val="21"/>
              </w:rPr>
              <w:t>）</w:t>
            </w:r>
            <w:r>
              <w:rPr>
                <w:spacing w:val="-188"/>
                <w:sz w:val="21"/>
              </w:rPr>
              <w:t>。</w:t>
            </w:r>
            <w:r>
              <w:rPr>
                <w:sz w:val="21"/>
              </w:rPr>
              <w:t>（</w:t>
            </w:r>
            <w:r>
              <w:rPr>
                <w:spacing w:val="-10"/>
                <w:sz w:val="21"/>
              </w:rPr>
              <w:t xml:space="preserve">即范围修改为 </w:t>
            </w:r>
            <w:r>
              <w:rPr>
                <w:sz w:val="21"/>
              </w:rPr>
              <w:t>95.5%～ 102</w:t>
            </w:r>
            <w:r>
              <w:rPr>
                <w:spacing w:val="-4"/>
                <w:sz w:val="21"/>
              </w:rPr>
              <w:t xml:space="preserve">%，若仍不足两家，范围再修改为 </w:t>
            </w:r>
            <w:r>
              <w:rPr>
                <w:sz w:val="21"/>
              </w:rPr>
              <w:t>95.0%～102%,以此类推）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6" w:hRule="atLeast"/>
        </w:trPr>
        <w:tc>
          <w:tcPr>
            <w:tcW w:w="874" w:type="dxa"/>
            <w:tcBorders>
              <w:top w:val="single" w:color="000000" w:sz="6" w:space="0"/>
              <w:right w:val="single" w:color="000000" w:sz="6" w:space="0"/>
            </w:tcBorders>
          </w:tcPr>
          <w:p>
            <w:pPr>
              <w:pStyle w:val="11"/>
              <w:rPr>
                <w:rFonts w:ascii="Times New Roman"/>
                <w:sz w:val="20"/>
              </w:rPr>
            </w:pPr>
          </w:p>
          <w:p>
            <w:pPr>
              <w:pStyle w:val="11"/>
              <w:spacing w:before="163"/>
              <w:ind w:left="13"/>
              <w:rPr>
                <w:sz w:val="21"/>
              </w:rPr>
            </w:pPr>
            <w:r>
              <w:rPr>
                <w:sz w:val="21"/>
              </w:rPr>
              <w:t>3.2.4</w:t>
            </w:r>
          </w:p>
        </w:tc>
        <w:tc>
          <w:tcPr>
            <w:tcW w:w="1613" w:type="dxa"/>
            <w:tcBorders>
              <w:top w:val="single" w:color="000000" w:sz="6" w:space="0"/>
              <w:left w:val="single" w:color="000000" w:sz="6" w:space="0"/>
              <w:right w:val="single" w:color="000000" w:sz="6" w:space="0"/>
            </w:tcBorders>
          </w:tcPr>
          <w:p>
            <w:pPr>
              <w:pStyle w:val="11"/>
              <w:spacing w:before="122" w:line="242" w:lineRule="auto"/>
              <w:ind w:left="13" w:right="-15"/>
              <w:jc w:val="both"/>
              <w:rPr>
                <w:sz w:val="21"/>
              </w:rPr>
            </w:pPr>
            <w:r>
              <w:rPr>
                <w:sz w:val="21"/>
              </w:rPr>
              <w:t>通过商务及技术文件评审的投标人数量</w:t>
            </w:r>
          </w:p>
        </w:tc>
        <w:tc>
          <w:tcPr>
            <w:tcW w:w="7150" w:type="dxa"/>
            <w:tcBorders>
              <w:top w:val="single" w:color="000000" w:sz="6" w:space="0"/>
              <w:left w:val="single" w:color="000000" w:sz="6" w:space="0"/>
            </w:tcBorders>
          </w:tcPr>
          <w:p>
            <w:pPr>
              <w:pStyle w:val="11"/>
              <w:spacing w:before="122" w:line="242" w:lineRule="auto"/>
              <w:ind w:left="13" w:right="-15"/>
              <w:jc w:val="both"/>
              <w:rPr>
                <w:sz w:val="21"/>
              </w:rPr>
            </w:pPr>
            <w:r>
              <w:rPr>
                <w:spacing w:val="-4"/>
                <w:sz w:val="21"/>
              </w:rPr>
              <w:t xml:space="preserve">按照投标人的商务和技术得分由高到低排序，不设并列。当通过本章第 </w:t>
            </w:r>
            <w:r>
              <w:rPr>
                <w:sz w:val="21"/>
              </w:rPr>
              <w:t>3.1</w:t>
            </w:r>
            <w:r>
              <w:rPr>
                <w:spacing w:val="-30"/>
                <w:sz w:val="21"/>
              </w:rPr>
              <w:t xml:space="preserve"> 项初步评审的投标人&gt;10</w:t>
            </w:r>
            <w:r>
              <w:rPr>
                <w:spacing w:val="-16"/>
                <w:sz w:val="21"/>
              </w:rPr>
              <w:t xml:space="preserve"> 家时，选择前 </w:t>
            </w:r>
            <w:r>
              <w:rPr>
                <w:sz w:val="21"/>
              </w:rPr>
              <w:t>5</w:t>
            </w:r>
            <w:r>
              <w:rPr>
                <w:spacing w:val="-8"/>
                <w:sz w:val="21"/>
              </w:rPr>
              <w:t xml:space="preserve"> 名通过详细评审；投标人≤</w:t>
            </w:r>
            <w:r>
              <w:rPr>
                <w:sz w:val="21"/>
              </w:rPr>
              <w:t>10</w:t>
            </w:r>
            <w:r>
              <w:rPr>
                <w:spacing w:val="-12"/>
                <w:sz w:val="21"/>
              </w:rPr>
              <w:t xml:space="preserve"> 家时，选</w:t>
            </w:r>
            <w:r>
              <w:rPr>
                <w:spacing w:val="-25"/>
                <w:sz w:val="21"/>
              </w:rPr>
              <w:t xml:space="preserve">择前 </w:t>
            </w:r>
            <w:r>
              <w:rPr>
                <w:sz w:val="21"/>
                <w:u w:val="single"/>
              </w:rPr>
              <w:t>3</w:t>
            </w:r>
            <w:r>
              <w:rPr>
                <w:spacing w:val="-8"/>
                <w:sz w:val="21"/>
              </w:rPr>
              <w:t xml:space="preserve"> 名通过详细评审。</w:t>
            </w:r>
          </w:p>
        </w:tc>
      </w:tr>
    </w:tbl>
    <w:p>
      <w:pPr>
        <w:spacing w:after="0" w:line="242" w:lineRule="auto"/>
        <w:jc w:val="both"/>
        <w:rPr>
          <w:sz w:val="21"/>
        </w:rPr>
        <w:sectPr>
          <w:pgSz w:w="11910" w:h="16840"/>
          <w:pgMar w:top="1380" w:right="720" w:bottom="1080" w:left="820" w:header="746" w:footer="891" w:gutter="0"/>
          <w:cols w:space="720" w:num="1"/>
        </w:sectPr>
      </w:pPr>
    </w:p>
    <w:p>
      <w:pPr>
        <w:pStyle w:val="5"/>
        <w:spacing w:before="9" w:after="1"/>
        <w:ind w:left="0"/>
        <w:rPr>
          <w:rFonts w:ascii="Times New Roman"/>
          <w:sz w:val="28"/>
        </w:rPr>
      </w:pPr>
    </w:p>
    <w:tbl>
      <w:tblPr>
        <w:tblStyle w:val="7"/>
        <w:tblW w:w="0" w:type="auto"/>
        <w:tblInd w:w="1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32"/>
        <w:gridCol w:w="926"/>
        <w:gridCol w:w="869"/>
        <w:gridCol w:w="2923"/>
        <w:gridCol w:w="850"/>
        <w:gridCol w:w="30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restart"/>
          </w:tcPr>
          <w:p>
            <w:pPr>
              <w:pStyle w:val="11"/>
              <w:rPr>
                <w:rFonts w:ascii="Times New Roman"/>
                <w:sz w:val="20"/>
              </w:rPr>
            </w:pPr>
          </w:p>
          <w:p>
            <w:pPr>
              <w:pStyle w:val="11"/>
              <w:spacing w:before="11"/>
              <w:rPr>
                <w:rFonts w:ascii="Times New Roman"/>
                <w:sz w:val="24"/>
              </w:rPr>
            </w:pPr>
          </w:p>
          <w:p>
            <w:pPr>
              <w:pStyle w:val="11"/>
              <w:spacing w:line="244" w:lineRule="auto"/>
              <w:ind w:left="249" w:right="136" w:hanging="106"/>
              <w:rPr>
                <w:b/>
                <w:sz w:val="21"/>
              </w:rPr>
            </w:pPr>
            <w:r>
              <w:rPr>
                <w:b/>
                <w:sz w:val="21"/>
              </w:rPr>
              <w:t>条款号</w:t>
            </w:r>
          </w:p>
        </w:tc>
        <w:tc>
          <w:tcPr>
            <w:tcW w:w="6200" w:type="dxa"/>
            <w:gridSpan w:val="5"/>
          </w:tcPr>
          <w:p>
            <w:pPr>
              <w:pStyle w:val="11"/>
              <w:spacing w:before="121"/>
              <w:ind w:left="2130" w:right="2122"/>
              <w:jc w:val="center"/>
              <w:rPr>
                <w:b/>
                <w:sz w:val="21"/>
              </w:rPr>
            </w:pPr>
            <w:r>
              <w:rPr>
                <w:b/>
                <w:sz w:val="21"/>
              </w:rPr>
              <w:t>评分因素与权重分值</w:t>
            </w:r>
          </w:p>
        </w:tc>
        <w:tc>
          <w:tcPr>
            <w:tcW w:w="3050" w:type="dxa"/>
            <w:vMerge w:val="restart"/>
          </w:tcPr>
          <w:p>
            <w:pPr>
              <w:pStyle w:val="11"/>
              <w:rPr>
                <w:rFonts w:ascii="Times New Roman"/>
                <w:sz w:val="20"/>
              </w:rPr>
            </w:pPr>
          </w:p>
          <w:p>
            <w:pPr>
              <w:pStyle w:val="11"/>
              <w:rPr>
                <w:rFonts w:ascii="Times New Roman"/>
                <w:sz w:val="20"/>
              </w:rPr>
            </w:pPr>
          </w:p>
          <w:p>
            <w:pPr>
              <w:pStyle w:val="11"/>
              <w:spacing w:before="10"/>
              <w:rPr>
                <w:rFonts w:ascii="Times New Roman"/>
                <w:sz w:val="16"/>
              </w:rPr>
            </w:pPr>
          </w:p>
          <w:p>
            <w:pPr>
              <w:pStyle w:val="11"/>
              <w:ind w:left="1083" w:right="1073"/>
              <w:jc w:val="center"/>
              <w:rPr>
                <w:b/>
                <w:sz w:val="21"/>
              </w:rPr>
            </w:pPr>
            <w:r>
              <w:rPr>
                <w:b/>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7" w:hRule="atLeast"/>
        </w:trPr>
        <w:tc>
          <w:tcPr>
            <w:tcW w:w="712" w:type="dxa"/>
            <w:vMerge w:val="continue"/>
            <w:tcBorders>
              <w:top w:val="nil"/>
            </w:tcBorders>
          </w:tcPr>
          <w:p>
            <w:pPr>
              <w:rPr>
                <w:sz w:val="2"/>
                <w:szCs w:val="2"/>
              </w:rPr>
            </w:pPr>
          </w:p>
        </w:tc>
        <w:tc>
          <w:tcPr>
            <w:tcW w:w="1558" w:type="dxa"/>
            <w:gridSpan w:val="2"/>
          </w:tcPr>
          <w:p>
            <w:pPr>
              <w:pStyle w:val="11"/>
              <w:rPr>
                <w:rFonts w:ascii="Times New Roman"/>
                <w:sz w:val="20"/>
              </w:rPr>
            </w:pPr>
          </w:p>
          <w:p>
            <w:pPr>
              <w:pStyle w:val="11"/>
              <w:spacing w:before="162"/>
              <w:ind w:left="355"/>
              <w:rPr>
                <w:b/>
                <w:sz w:val="21"/>
              </w:rPr>
            </w:pPr>
            <w:r>
              <w:rPr>
                <w:b/>
                <w:sz w:val="21"/>
              </w:rPr>
              <w:t>评分因素</w:t>
            </w:r>
          </w:p>
        </w:tc>
        <w:tc>
          <w:tcPr>
            <w:tcW w:w="869" w:type="dxa"/>
          </w:tcPr>
          <w:p>
            <w:pPr>
              <w:pStyle w:val="11"/>
              <w:spacing w:before="119" w:line="242" w:lineRule="auto"/>
              <w:ind w:left="117" w:right="107"/>
              <w:jc w:val="both"/>
              <w:rPr>
                <w:b/>
                <w:sz w:val="21"/>
              </w:rPr>
            </w:pPr>
            <w:r>
              <w:rPr>
                <w:b/>
                <w:sz w:val="21"/>
              </w:rPr>
              <w:t>评分因素权重分值</w:t>
            </w:r>
          </w:p>
        </w:tc>
        <w:tc>
          <w:tcPr>
            <w:tcW w:w="2923" w:type="dxa"/>
          </w:tcPr>
          <w:p>
            <w:pPr>
              <w:pStyle w:val="11"/>
              <w:rPr>
                <w:rFonts w:ascii="Times New Roman"/>
                <w:sz w:val="20"/>
              </w:rPr>
            </w:pPr>
          </w:p>
          <w:p>
            <w:pPr>
              <w:pStyle w:val="11"/>
              <w:spacing w:before="162"/>
              <w:ind w:left="616"/>
              <w:rPr>
                <w:b/>
                <w:sz w:val="21"/>
              </w:rPr>
            </w:pPr>
            <w:r>
              <w:rPr>
                <w:b/>
                <w:sz w:val="21"/>
              </w:rPr>
              <w:t>各评分因素细分项</w:t>
            </w:r>
          </w:p>
        </w:tc>
        <w:tc>
          <w:tcPr>
            <w:tcW w:w="850" w:type="dxa"/>
          </w:tcPr>
          <w:p>
            <w:pPr>
              <w:pStyle w:val="11"/>
              <w:rPr>
                <w:rFonts w:ascii="Times New Roman"/>
                <w:sz w:val="20"/>
              </w:rPr>
            </w:pPr>
          </w:p>
          <w:p>
            <w:pPr>
              <w:pStyle w:val="11"/>
              <w:spacing w:before="162"/>
              <w:ind w:left="213"/>
              <w:rPr>
                <w:b/>
                <w:sz w:val="21"/>
              </w:rPr>
            </w:pPr>
            <w:r>
              <w:rPr>
                <w:b/>
                <w:sz w:val="21"/>
              </w:rPr>
              <w:t>分值</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17"/>
              </w:rPr>
            </w:pPr>
          </w:p>
          <w:p>
            <w:pPr>
              <w:pStyle w:val="11"/>
              <w:ind w:left="61" w:right="50"/>
              <w:jc w:val="center"/>
              <w:rPr>
                <w:sz w:val="21"/>
              </w:rPr>
            </w:pPr>
            <w:r>
              <w:rPr>
                <w:sz w:val="21"/>
              </w:rPr>
              <w:t>2.2.</w:t>
            </w:r>
          </w:p>
          <w:p>
            <w:pPr>
              <w:pStyle w:val="11"/>
              <w:spacing w:before="2"/>
              <w:ind w:left="6"/>
              <w:jc w:val="center"/>
              <w:rPr>
                <w:sz w:val="21"/>
              </w:rPr>
            </w:pPr>
            <w:r>
              <w:rPr>
                <w:w w:val="99"/>
                <w:sz w:val="21"/>
              </w:rPr>
              <w:t>2</w:t>
            </w:r>
          </w:p>
          <w:p>
            <w:pPr>
              <w:pStyle w:val="11"/>
              <w:spacing w:before="2"/>
              <w:ind w:left="87" w:right="50"/>
              <w:jc w:val="center"/>
              <w:rPr>
                <w:sz w:val="21"/>
              </w:rPr>
            </w:pPr>
            <w:r>
              <w:rPr>
                <w:sz w:val="21"/>
              </w:rPr>
              <w:t>（1）</w:t>
            </w:r>
          </w:p>
        </w:tc>
        <w:tc>
          <w:tcPr>
            <w:tcW w:w="1558" w:type="dxa"/>
            <w:gridSpan w:val="2"/>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8"/>
              <w:rPr>
                <w:rFonts w:ascii="Times New Roman"/>
                <w:sz w:val="29"/>
              </w:rPr>
            </w:pPr>
          </w:p>
          <w:p>
            <w:pPr>
              <w:pStyle w:val="11"/>
              <w:spacing w:line="242" w:lineRule="auto"/>
              <w:ind w:left="569" w:right="350" w:hanging="212"/>
              <w:rPr>
                <w:sz w:val="21"/>
              </w:rPr>
            </w:pPr>
            <w:r>
              <w:rPr>
                <w:sz w:val="21"/>
              </w:rPr>
              <w:t>施工组织设计</w:t>
            </w:r>
          </w:p>
        </w:tc>
        <w:tc>
          <w:tcPr>
            <w:tcW w:w="869"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4"/>
              <w:rPr>
                <w:rFonts w:ascii="Times New Roman"/>
                <w:sz w:val="21"/>
              </w:rPr>
            </w:pPr>
          </w:p>
          <w:p>
            <w:pPr>
              <w:pStyle w:val="11"/>
              <w:ind w:left="196"/>
              <w:rPr>
                <w:sz w:val="21"/>
              </w:rPr>
            </w:pPr>
            <w:r>
              <w:rPr>
                <w:sz w:val="21"/>
                <w:u w:val="single"/>
              </w:rPr>
              <w:t>40 分</w:t>
            </w:r>
          </w:p>
        </w:tc>
        <w:tc>
          <w:tcPr>
            <w:tcW w:w="2923" w:type="dxa"/>
          </w:tcPr>
          <w:p>
            <w:pPr>
              <w:pStyle w:val="11"/>
              <w:spacing w:before="120"/>
              <w:ind w:right="297"/>
              <w:jc w:val="right"/>
              <w:rPr>
                <w:sz w:val="21"/>
              </w:rPr>
            </w:pPr>
            <w:r>
              <w:rPr>
                <w:w w:val="95"/>
                <w:sz w:val="21"/>
              </w:rPr>
              <w:t>总体施工组织布置及规划</w:t>
            </w:r>
          </w:p>
        </w:tc>
        <w:tc>
          <w:tcPr>
            <w:tcW w:w="850" w:type="dxa"/>
          </w:tcPr>
          <w:p>
            <w:pPr>
              <w:pStyle w:val="11"/>
              <w:spacing w:before="120"/>
              <w:ind w:left="134"/>
              <w:rPr>
                <w:sz w:val="21"/>
              </w:rPr>
            </w:pPr>
            <w:r>
              <w:rPr>
                <w:sz w:val="21"/>
              </w:rPr>
              <w:t>0-5 分</w:t>
            </w:r>
          </w:p>
        </w:tc>
        <w:tc>
          <w:tcPr>
            <w:tcW w:w="3050"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6"/>
              <w:rPr>
                <w:rFonts w:ascii="Times New Roman"/>
                <w:sz w:val="18"/>
              </w:rPr>
            </w:pPr>
          </w:p>
          <w:p>
            <w:pPr>
              <w:pStyle w:val="11"/>
              <w:spacing w:line="242" w:lineRule="auto"/>
              <w:ind w:left="107" w:right="98"/>
              <w:jc w:val="both"/>
              <w:rPr>
                <w:sz w:val="21"/>
              </w:rPr>
            </w:pPr>
            <w:r>
              <w:rPr>
                <w:sz w:val="21"/>
              </w:rPr>
              <w:t>根据对本工程施工工作的重点与难点的分析，由评标委员会酌情进行打分，各项评分因素得分不得低于该因素满分值的60%；评分低于满分值 60%的， 评标委员会成员应当在评标报告中作出说明。（如有缺项， 该小项不得分）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line="242" w:lineRule="auto"/>
              <w:ind w:left="107" w:right="74"/>
              <w:jc w:val="both"/>
              <w:rPr>
                <w:sz w:val="21"/>
              </w:rPr>
            </w:pPr>
            <w:r>
              <w:rPr>
                <w:sz w:val="21"/>
              </w:rPr>
              <w:t>主要工程项目的施工方案、方法与技术措施（尤其对重点、关键和难点工程的施工方案、</w:t>
            </w:r>
          </w:p>
          <w:p>
            <w:pPr>
              <w:pStyle w:val="11"/>
              <w:spacing w:before="1" w:line="252" w:lineRule="exact"/>
              <w:ind w:left="830"/>
              <w:rPr>
                <w:sz w:val="21"/>
              </w:rPr>
            </w:pPr>
            <w:r>
              <w:rPr>
                <w:sz w:val="21"/>
              </w:rPr>
              <w:t>方法及措施）</w:t>
            </w:r>
          </w:p>
        </w:tc>
        <w:tc>
          <w:tcPr>
            <w:tcW w:w="850" w:type="dxa"/>
          </w:tcPr>
          <w:p>
            <w:pPr>
              <w:pStyle w:val="11"/>
              <w:spacing w:before="7"/>
              <w:rPr>
                <w:rFonts w:ascii="Times New Roman"/>
                <w:sz w:val="23"/>
              </w:rPr>
            </w:pPr>
          </w:p>
          <w:p>
            <w:pPr>
              <w:pStyle w:val="11"/>
              <w:spacing w:before="1"/>
              <w:ind w:left="194" w:right="186"/>
              <w:jc w:val="center"/>
              <w:rPr>
                <w:sz w:val="21"/>
              </w:rPr>
            </w:pPr>
            <w:r>
              <w:rPr>
                <w:sz w:val="21"/>
              </w:rPr>
              <w:t>0-10</w:t>
            </w:r>
          </w:p>
          <w:p>
            <w:pPr>
              <w:pStyle w:val="11"/>
              <w:spacing w:before="4"/>
              <w:ind w:left="7"/>
              <w:jc w:val="center"/>
              <w:rPr>
                <w:sz w:val="21"/>
              </w:rPr>
            </w:pPr>
            <w:r>
              <w:rPr>
                <w:w w:val="99"/>
                <w:sz w:val="21"/>
              </w:rPr>
              <w:t>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19"/>
              <w:ind w:right="297"/>
              <w:jc w:val="right"/>
              <w:rPr>
                <w:sz w:val="21"/>
              </w:rPr>
            </w:pPr>
            <w:r>
              <w:rPr>
                <w:w w:val="95"/>
                <w:sz w:val="21"/>
              </w:rPr>
              <w:t>工期保证体系及保证措施</w:t>
            </w:r>
          </w:p>
        </w:tc>
        <w:tc>
          <w:tcPr>
            <w:tcW w:w="850" w:type="dxa"/>
          </w:tcPr>
          <w:p>
            <w:pPr>
              <w:pStyle w:val="11"/>
              <w:spacing w:before="121"/>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line="268" w:lineRule="exact"/>
              <w:ind w:left="75" w:right="68"/>
              <w:jc w:val="center"/>
              <w:rPr>
                <w:sz w:val="21"/>
              </w:rPr>
            </w:pPr>
            <w:r>
              <w:rPr>
                <w:sz w:val="21"/>
              </w:rPr>
              <w:t>工程质量管理体系及保证措</w:t>
            </w:r>
          </w:p>
          <w:p>
            <w:pPr>
              <w:pStyle w:val="11"/>
              <w:spacing w:before="4" w:line="251" w:lineRule="exact"/>
              <w:ind w:left="7"/>
              <w:jc w:val="center"/>
              <w:rPr>
                <w:sz w:val="21"/>
              </w:rPr>
            </w:pPr>
            <w:r>
              <w:rPr>
                <w:w w:val="99"/>
                <w:sz w:val="21"/>
              </w:rPr>
              <w:t>施</w:t>
            </w:r>
          </w:p>
        </w:tc>
        <w:tc>
          <w:tcPr>
            <w:tcW w:w="850" w:type="dxa"/>
          </w:tcPr>
          <w:p>
            <w:pPr>
              <w:pStyle w:val="11"/>
              <w:spacing w:before="136"/>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line="270" w:lineRule="atLeast"/>
              <w:ind w:left="1355" w:right="191" w:hanging="1155"/>
              <w:rPr>
                <w:sz w:val="21"/>
              </w:rPr>
            </w:pPr>
            <w:r>
              <w:rPr>
                <w:sz w:val="21"/>
              </w:rPr>
              <w:t>安全生产管理体系及保证措施</w:t>
            </w:r>
          </w:p>
        </w:tc>
        <w:tc>
          <w:tcPr>
            <w:tcW w:w="850" w:type="dxa"/>
          </w:tcPr>
          <w:p>
            <w:pPr>
              <w:pStyle w:val="11"/>
              <w:spacing w:before="136"/>
              <w:ind w:left="134"/>
              <w:rPr>
                <w:sz w:val="21"/>
              </w:rPr>
            </w:pPr>
            <w:r>
              <w:rPr>
                <w:sz w:val="21"/>
              </w:rPr>
              <w:t>0-5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1"/>
              <w:ind w:left="75" w:right="68"/>
              <w:jc w:val="center"/>
              <w:rPr>
                <w:sz w:val="21"/>
              </w:rPr>
            </w:pPr>
            <w:r>
              <w:rPr>
                <w:sz w:val="21"/>
              </w:rPr>
              <w:t>环境保护、水土保持保证体系</w:t>
            </w:r>
          </w:p>
          <w:p>
            <w:pPr>
              <w:pStyle w:val="11"/>
              <w:spacing w:before="2" w:line="252" w:lineRule="exact"/>
              <w:ind w:left="75" w:right="68"/>
              <w:jc w:val="center"/>
              <w:rPr>
                <w:sz w:val="21"/>
              </w:rPr>
            </w:pPr>
            <w:r>
              <w:rPr>
                <w:sz w:val="21"/>
              </w:rPr>
              <w:t>及保证措施</w:t>
            </w:r>
          </w:p>
        </w:tc>
        <w:tc>
          <w:tcPr>
            <w:tcW w:w="850" w:type="dxa"/>
          </w:tcPr>
          <w:p>
            <w:pPr>
              <w:pStyle w:val="11"/>
              <w:spacing w:before="135"/>
              <w:ind w:left="134"/>
              <w:rPr>
                <w:sz w:val="21"/>
              </w:rPr>
            </w:pPr>
            <w:r>
              <w:rPr>
                <w:sz w:val="21"/>
              </w:rPr>
              <w:t>0-4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ind w:left="75" w:right="68"/>
              <w:jc w:val="center"/>
              <w:rPr>
                <w:sz w:val="21"/>
              </w:rPr>
            </w:pPr>
            <w:r>
              <w:rPr>
                <w:sz w:val="21"/>
              </w:rPr>
              <w:t>文明施工、文物保护保证体系</w:t>
            </w:r>
          </w:p>
          <w:p>
            <w:pPr>
              <w:pStyle w:val="11"/>
              <w:spacing w:before="3" w:line="253" w:lineRule="exact"/>
              <w:ind w:left="75" w:right="68"/>
              <w:jc w:val="center"/>
              <w:rPr>
                <w:sz w:val="21"/>
              </w:rPr>
            </w:pPr>
            <w:r>
              <w:rPr>
                <w:sz w:val="21"/>
              </w:rPr>
              <w:t>及保证措施</w:t>
            </w:r>
          </w:p>
        </w:tc>
        <w:tc>
          <w:tcPr>
            <w:tcW w:w="850" w:type="dxa"/>
          </w:tcPr>
          <w:p>
            <w:pPr>
              <w:pStyle w:val="11"/>
              <w:spacing w:before="135"/>
              <w:ind w:left="134"/>
              <w:rPr>
                <w:sz w:val="21"/>
              </w:rPr>
            </w:pPr>
            <w:r>
              <w:rPr>
                <w:sz w:val="21"/>
              </w:rPr>
              <w:t>0-3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ind w:left="75" w:right="68"/>
              <w:jc w:val="center"/>
              <w:rPr>
                <w:sz w:val="21"/>
              </w:rPr>
            </w:pPr>
            <w:r>
              <w:rPr>
                <w:sz w:val="21"/>
              </w:rPr>
              <w:t>项目风险预测与防范，事故应</w:t>
            </w:r>
          </w:p>
          <w:p>
            <w:pPr>
              <w:pStyle w:val="11"/>
              <w:spacing w:before="2" w:line="253" w:lineRule="exact"/>
              <w:ind w:left="73" w:right="68"/>
              <w:jc w:val="center"/>
              <w:rPr>
                <w:sz w:val="21"/>
              </w:rPr>
            </w:pPr>
            <w:r>
              <w:rPr>
                <w:sz w:val="21"/>
              </w:rPr>
              <w:t>急预案</w:t>
            </w:r>
          </w:p>
        </w:tc>
        <w:tc>
          <w:tcPr>
            <w:tcW w:w="850" w:type="dxa"/>
          </w:tcPr>
          <w:p>
            <w:pPr>
              <w:pStyle w:val="11"/>
              <w:spacing w:before="134"/>
              <w:ind w:left="134"/>
              <w:rPr>
                <w:sz w:val="21"/>
              </w:rPr>
            </w:pPr>
            <w:r>
              <w:rPr>
                <w:sz w:val="21"/>
              </w:rPr>
              <w:t>0-3 分</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712"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80"/>
              <w:ind w:left="107"/>
              <w:rPr>
                <w:sz w:val="21"/>
              </w:rPr>
            </w:pPr>
            <w:r>
              <w:rPr>
                <w:sz w:val="21"/>
              </w:rPr>
              <w:t>2.2.</w:t>
            </w:r>
          </w:p>
          <w:p>
            <w:pPr>
              <w:pStyle w:val="11"/>
              <w:spacing w:before="2"/>
              <w:ind w:left="107"/>
              <w:rPr>
                <w:sz w:val="21"/>
              </w:rPr>
            </w:pPr>
            <w:r>
              <w:rPr>
                <w:w w:val="99"/>
                <w:sz w:val="21"/>
              </w:rPr>
              <w:t>2</w:t>
            </w:r>
          </w:p>
          <w:p>
            <w:pPr>
              <w:pStyle w:val="11"/>
              <w:spacing w:before="2"/>
              <w:ind w:left="107"/>
              <w:rPr>
                <w:sz w:val="21"/>
              </w:rPr>
            </w:pPr>
            <w:r>
              <w:rPr>
                <w:sz w:val="21"/>
              </w:rPr>
              <w:t>（2）</w:t>
            </w:r>
          </w:p>
        </w:tc>
        <w:tc>
          <w:tcPr>
            <w:tcW w:w="1558" w:type="dxa"/>
            <w:gridSpan w:val="2"/>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2"/>
              <w:rPr>
                <w:rFonts w:ascii="Times New Roman"/>
                <w:sz w:val="19"/>
              </w:rPr>
            </w:pPr>
          </w:p>
          <w:p>
            <w:pPr>
              <w:pStyle w:val="11"/>
              <w:ind w:left="108"/>
              <w:rPr>
                <w:sz w:val="21"/>
              </w:rPr>
            </w:pPr>
            <w:r>
              <w:rPr>
                <w:sz w:val="21"/>
              </w:rPr>
              <w:t>主要人员</w:t>
            </w:r>
          </w:p>
        </w:tc>
        <w:tc>
          <w:tcPr>
            <w:tcW w:w="869" w:type="dxa"/>
            <w:vMerge w:val="restart"/>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2"/>
              <w:rPr>
                <w:rFonts w:ascii="Times New Roman"/>
                <w:sz w:val="19"/>
              </w:rPr>
            </w:pPr>
          </w:p>
          <w:p>
            <w:pPr>
              <w:pStyle w:val="11"/>
              <w:ind w:left="108"/>
              <w:rPr>
                <w:sz w:val="21"/>
              </w:rPr>
            </w:pPr>
            <w:r>
              <w:rPr>
                <w:sz w:val="21"/>
                <w:u w:val="single"/>
              </w:rPr>
              <w:t>30 分</w:t>
            </w:r>
          </w:p>
        </w:tc>
        <w:tc>
          <w:tcPr>
            <w:tcW w:w="2923" w:type="dxa"/>
          </w:tcPr>
          <w:p>
            <w:pPr>
              <w:pStyle w:val="11"/>
              <w:spacing w:before="9"/>
              <w:rPr>
                <w:rFonts w:ascii="Times New Roman"/>
                <w:sz w:val="23"/>
              </w:rPr>
            </w:pPr>
          </w:p>
          <w:p>
            <w:pPr>
              <w:pStyle w:val="11"/>
              <w:ind w:left="107"/>
              <w:rPr>
                <w:sz w:val="21"/>
              </w:rPr>
            </w:pPr>
            <w:r>
              <w:rPr>
                <w:sz w:val="21"/>
              </w:rPr>
              <w:t>项目经理任职资格与业绩</w:t>
            </w:r>
          </w:p>
        </w:tc>
        <w:tc>
          <w:tcPr>
            <w:tcW w:w="850" w:type="dxa"/>
          </w:tcPr>
          <w:p>
            <w:pPr>
              <w:pStyle w:val="11"/>
              <w:spacing w:before="9"/>
              <w:rPr>
                <w:rFonts w:ascii="Times New Roman"/>
                <w:sz w:val="23"/>
              </w:rPr>
            </w:pPr>
          </w:p>
          <w:p>
            <w:pPr>
              <w:pStyle w:val="11"/>
              <w:ind w:left="108"/>
              <w:rPr>
                <w:sz w:val="21"/>
              </w:rPr>
            </w:pPr>
            <w:r>
              <w:rPr>
                <w:sz w:val="21"/>
                <w:u w:val="single"/>
              </w:rPr>
              <w:t>10</w:t>
            </w:r>
            <w:r>
              <w:rPr>
                <w:sz w:val="21"/>
              </w:rPr>
              <w:t xml:space="preserve"> 分</w:t>
            </w:r>
          </w:p>
        </w:tc>
        <w:tc>
          <w:tcPr>
            <w:tcW w:w="3050" w:type="dxa"/>
          </w:tcPr>
          <w:p>
            <w:pPr>
              <w:pStyle w:val="11"/>
              <w:ind w:left="107"/>
              <w:rPr>
                <w:sz w:val="21"/>
              </w:rPr>
            </w:pPr>
            <w:r>
              <w:rPr>
                <w:sz w:val="21"/>
              </w:rPr>
              <w:t>项目经理资格达到资格审查条</w:t>
            </w:r>
          </w:p>
          <w:p>
            <w:pPr>
              <w:pStyle w:val="11"/>
              <w:spacing w:before="4" w:line="270" w:lineRule="atLeast"/>
              <w:ind w:left="107" w:right="98"/>
              <w:rPr>
                <w:sz w:val="21"/>
              </w:rPr>
            </w:pPr>
            <w:r>
              <w:rPr>
                <w:sz w:val="21"/>
              </w:rPr>
              <w:t>件（项目经理最低要求）的， 得 10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spacing w:before="8"/>
              <w:rPr>
                <w:rFonts w:ascii="Times New Roman"/>
                <w:sz w:val="23"/>
              </w:rPr>
            </w:pPr>
          </w:p>
          <w:p>
            <w:pPr>
              <w:pStyle w:val="11"/>
              <w:ind w:left="107"/>
              <w:rPr>
                <w:sz w:val="21"/>
              </w:rPr>
            </w:pPr>
            <w:r>
              <w:rPr>
                <w:sz w:val="21"/>
              </w:rPr>
              <w:t>项目总工任职资格与业绩</w:t>
            </w:r>
          </w:p>
        </w:tc>
        <w:tc>
          <w:tcPr>
            <w:tcW w:w="850" w:type="dxa"/>
          </w:tcPr>
          <w:p>
            <w:pPr>
              <w:pStyle w:val="11"/>
              <w:spacing w:before="8"/>
              <w:rPr>
                <w:rFonts w:ascii="Times New Roman"/>
                <w:sz w:val="23"/>
              </w:rPr>
            </w:pPr>
          </w:p>
          <w:p>
            <w:pPr>
              <w:pStyle w:val="11"/>
              <w:ind w:left="108"/>
              <w:rPr>
                <w:sz w:val="21"/>
              </w:rPr>
            </w:pPr>
            <w:r>
              <w:rPr>
                <w:sz w:val="21"/>
                <w:u w:val="single"/>
              </w:rPr>
              <w:t>10</w:t>
            </w:r>
            <w:r>
              <w:rPr>
                <w:sz w:val="21"/>
              </w:rPr>
              <w:t xml:space="preserve"> 分</w:t>
            </w:r>
          </w:p>
        </w:tc>
        <w:tc>
          <w:tcPr>
            <w:tcW w:w="3050" w:type="dxa"/>
          </w:tcPr>
          <w:p>
            <w:pPr>
              <w:pStyle w:val="11"/>
              <w:spacing w:before="1"/>
              <w:ind w:left="107"/>
              <w:rPr>
                <w:sz w:val="21"/>
              </w:rPr>
            </w:pPr>
            <w:r>
              <w:rPr>
                <w:sz w:val="21"/>
              </w:rPr>
              <w:t>项目总工资格达到资格审查条</w:t>
            </w:r>
          </w:p>
          <w:p>
            <w:pPr>
              <w:pStyle w:val="11"/>
              <w:spacing w:before="1" w:line="270" w:lineRule="atLeast"/>
              <w:ind w:left="107" w:right="98"/>
              <w:rPr>
                <w:sz w:val="21"/>
              </w:rPr>
            </w:pPr>
            <w:r>
              <w:rPr>
                <w:sz w:val="21"/>
              </w:rPr>
              <w:t>件（项目总工最低要求）的， 得 10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trPr>
        <w:tc>
          <w:tcPr>
            <w:tcW w:w="712" w:type="dxa"/>
            <w:vMerge w:val="continue"/>
            <w:tcBorders>
              <w:top w:val="nil"/>
            </w:tcBorders>
          </w:tcPr>
          <w:p>
            <w:pPr>
              <w:rPr>
                <w:sz w:val="2"/>
                <w:szCs w:val="2"/>
              </w:rPr>
            </w:pPr>
          </w:p>
        </w:tc>
        <w:tc>
          <w:tcPr>
            <w:tcW w:w="1558" w:type="dxa"/>
            <w:gridSpan w:val="2"/>
            <w:vMerge w:val="continue"/>
            <w:tcBorders>
              <w:top w:val="nil"/>
            </w:tcBorders>
          </w:tcPr>
          <w:p>
            <w:pPr>
              <w:rPr>
                <w:sz w:val="2"/>
                <w:szCs w:val="2"/>
              </w:rPr>
            </w:pPr>
          </w:p>
        </w:tc>
        <w:tc>
          <w:tcPr>
            <w:tcW w:w="869" w:type="dxa"/>
            <w:vMerge w:val="continue"/>
            <w:tcBorders>
              <w:top w:val="nil"/>
            </w:tcBorders>
          </w:tcPr>
          <w:p>
            <w:pPr>
              <w:rPr>
                <w:sz w:val="2"/>
                <w:szCs w:val="2"/>
              </w:rPr>
            </w:pPr>
          </w:p>
        </w:tc>
        <w:tc>
          <w:tcPr>
            <w:tcW w:w="2923" w:type="dxa"/>
          </w:tcPr>
          <w:p>
            <w:pPr>
              <w:pStyle w:val="11"/>
              <w:rPr>
                <w:rFonts w:ascii="Times New Roman"/>
                <w:sz w:val="20"/>
              </w:rPr>
            </w:pPr>
          </w:p>
          <w:p>
            <w:pPr>
              <w:pStyle w:val="11"/>
              <w:spacing w:before="178" w:line="244" w:lineRule="auto"/>
              <w:ind w:left="107" w:right="98"/>
              <w:rPr>
                <w:sz w:val="21"/>
              </w:rPr>
            </w:pPr>
            <w:r>
              <w:rPr>
                <w:sz w:val="21"/>
              </w:rPr>
              <w:t>项目其他主要管理和技术人员</w:t>
            </w:r>
          </w:p>
        </w:tc>
        <w:tc>
          <w:tcPr>
            <w:tcW w:w="850" w:type="dxa"/>
          </w:tcPr>
          <w:p>
            <w:pPr>
              <w:pStyle w:val="11"/>
              <w:rPr>
                <w:rFonts w:ascii="Times New Roman"/>
                <w:sz w:val="20"/>
              </w:rPr>
            </w:pPr>
          </w:p>
          <w:p>
            <w:pPr>
              <w:pStyle w:val="11"/>
              <w:spacing w:before="4"/>
              <w:rPr>
                <w:rFonts w:ascii="Times New Roman"/>
                <w:sz w:val="27"/>
              </w:rPr>
            </w:pPr>
          </w:p>
          <w:p>
            <w:pPr>
              <w:pStyle w:val="11"/>
              <w:ind w:left="108"/>
              <w:rPr>
                <w:sz w:val="21"/>
              </w:rPr>
            </w:pPr>
            <w:r>
              <w:rPr>
                <w:sz w:val="21"/>
                <w:u w:val="single"/>
              </w:rPr>
              <w:t>10</w:t>
            </w:r>
            <w:r>
              <w:rPr>
                <w:sz w:val="21"/>
              </w:rPr>
              <w:t xml:space="preserve"> 分</w:t>
            </w:r>
          </w:p>
        </w:tc>
        <w:tc>
          <w:tcPr>
            <w:tcW w:w="3050" w:type="dxa"/>
          </w:tcPr>
          <w:p>
            <w:pPr>
              <w:pStyle w:val="11"/>
              <w:spacing w:line="242" w:lineRule="auto"/>
              <w:ind w:left="107" w:right="98"/>
              <w:jc w:val="both"/>
              <w:rPr>
                <w:sz w:val="21"/>
              </w:rPr>
            </w:pPr>
            <w:r>
              <w:rPr>
                <w:spacing w:val="7"/>
                <w:sz w:val="21"/>
              </w:rPr>
              <w:t>根据项目管理机构人员配置合</w:t>
            </w:r>
            <w:r>
              <w:rPr>
                <w:spacing w:val="24"/>
                <w:sz w:val="21"/>
              </w:rPr>
              <w:t>理性及人员整体技术水平打</w:t>
            </w:r>
            <w:r>
              <w:rPr>
                <w:spacing w:val="-7"/>
                <w:sz w:val="21"/>
              </w:rPr>
              <w:t xml:space="preserve">分，整体水平高 </w:t>
            </w:r>
            <w:r>
              <w:rPr>
                <w:sz w:val="21"/>
              </w:rPr>
              <w:t>9-10</w:t>
            </w:r>
            <w:r>
              <w:rPr>
                <w:spacing w:val="-15"/>
                <w:sz w:val="21"/>
              </w:rPr>
              <w:t xml:space="preserve"> 分，较好</w:t>
            </w:r>
          </w:p>
          <w:p>
            <w:pPr>
              <w:pStyle w:val="11"/>
              <w:spacing w:before="2" w:line="270" w:lineRule="atLeast"/>
              <w:ind w:left="107" w:right="98"/>
              <w:jc w:val="both"/>
              <w:rPr>
                <w:sz w:val="21"/>
              </w:rPr>
            </w:pPr>
            <w:r>
              <w:rPr>
                <w:sz w:val="21"/>
              </w:rPr>
              <w:t>7-8</w:t>
            </w:r>
            <w:r>
              <w:rPr>
                <w:spacing w:val="-23"/>
                <w:sz w:val="21"/>
              </w:rPr>
              <w:t xml:space="preserve"> 分，一般 </w:t>
            </w:r>
            <w:r>
              <w:rPr>
                <w:sz w:val="21"/>
              </w:rPr>
              <w:t>6</w:t>
            </w:r>
            <w:r>
              <w:rPr>
                <w:spacing w:val="-13"/>
                <w:sz w:val="21"/>
              </w:rPr>
              <w:t xml:space="preserve"> 分，未提供不得</w:t>
            </w:r>
            <w:r>
              <w:rPr>
                <w:sz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2" w:hRule="atLeast"/>
        </w:trPr>
        <w:tc>
          <w:tcPr>
            <w:tcW w:w="712"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2"/>
              </w:rPr>
            </w:pPr>
          </w:p>
          <w:p>
            <w:pPr>
              <w:pStyle w:val="11"/>
              <w:ind w:left="107"/>
              <w:rPr>
                <w:sz w:val="21"/>
              </w:rPr>
            </w:pPr>
            <w:r>
              <w:rPr>
                <w:sz w:val="21"/>
              </w:rPr>
              <w:t>2.2.</w:t>
            </w:r>
          </w:p>
          <w:p>
            <w:pPr>
              <w:pStyle w:val="11"/>
              <w:spacing w:before="4"/>
              <w:ind w:left="107"/>
              <w:rPr>
                <w:sz w:val="21"/>
              </w:rPr>
            </w:pPr>
            <w:r>
              <w:rPr>
                <w:w w:val="99"/>
                <w:sz w:val="21"/>
              </w:rPr>
              <w:t>2</w:t>
            </w:r>
          </w:p>
          <w:p>
            <w:pPr>
              <w:pStyle w:val="11"/>
              <w:spacing w:before="3"/>
              <w:ind w:left="107"/>
              <w:rPr>
                <w:sz w:val="21"/>
              </w:rPr>
            </w:pPr>
            <w:r>
              <w:rPr>
                <w:sz w:val="21"/>
              </w:rPr>
              <w:t>(3)</w:t>
            </w:r>
          </w:p>
        </w:tc>
        <w:tc>
          <w:tcPr>
            <w:tcW w:w="632"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18" w:line="242" w:lineRule="auto"/>
              <w:ind w:left="108" w:right="302"/>
              <w:jc w:val="both"/>
              <w:rPr>
                <w:sz w:val="21"/>
              </w:rPr>
            </w:pPr>
            <w:r>
              <w:rPr>
                <w:sz w:val="21"/>
              </w:rPr>
              <w:t>其他因素</w:t>
            </w:r>
          </w:p>
        </w:tc>
        <w:tc>
          <w:tcPr>
            <w:tcW w:w="926"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62" w:line="242" w:lineRule="auto"/>
              <w:ind w:left="107" w:right="388"/>
              <w:rPr>
                <w:sz w:val="21"/>
              </w:rPr>
            </w:pPr>
            <w:r>
              <w:rPr>
                <w:sz w:val="21"/>
              </w:rPr>
              <w:t>履约信誉</w:t>
            </w:r>
          </w:p>
        </w:tc>
        <w:tc>
          <w:tcPr>
            <w:tcW w:w="869"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8"/>
              <w:rPr>
                <w:sz w:val="21"/>
              </w:rPr>
            </w:pPr>
            <w:r>
              <w:rPr>
                <w:sz w:val="21"/>
                <w:u w:val="single"/>
              </w:rPr>
              <w:t>25 分</w:t>
            </w:r>
          </w:p>
        </w:tc>
        <w:tc>
          <w:tcPr>
            <w:tcW w:w="2923"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7"/>
              <w:rPr>
                <w:sz w:val="21"/>
              </w:rPr>
            </w:pPr>
            <w:r>
              <w:rPr>
                <w:sz w:val="21"/>
              </w:rPr>
              <w:t>信誉</w:t>
            </w:r>
          </w:p>
        </w:tc>
        <w:tc>
          <w:tcPr>
            <w:tcW w:w="850"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9"/>
              <w:rPr>
                <w:rFonts w:ascii="Times New Roman"/>
                <w:sz w:val="25"/>
              </w:rPr>
            </w:pPr>
          </w:p>
          <w:p>
            <w:pPr>
              <w:pStyle w:val="11"/>
              <w:ind w:left="108"/>
              <w:rPr>
                <w:sz w:val="21"/>
              </w:rPr>
            </w:pPr>
            <w:r>
              <w:rPr>
                <w:sz w:val="21"/>
                <w:u w:val="single"/>
              </w:rPr>
              <w:t>25</w:t>
            </w:r>
            <w:r>
              <w:rPr>
                <w:sz w:val="21"/>
              </w:rPr>
              <w:t xml:space="preserve"> 分</w:t>
            </w:r>
          </w:p>
        </w:tc>
        <w:tc>
          <w:tcPr>
            <w:tcW w:w="3050" w:type="dxa"/>
          </w:tcPr>
          <w:p>
            <w:pPr>
              <w:pStyle w:val="11"/>
              <w:spacing w:before="1" w:line="242" w:lineRule="auto"/>
              <w:ind w:left="107" w:right="96"/>
              <w:jc w:val="both"/>
              <w:rPr>
                <w:sz w:val="21"/>
              </w:rPr>
            </w:pPr>
            <w:r>
              <w:rPr>
                <w:sz w:val="21"/>
              </w:rPr>
              <w:t>1、企业获得质量管理体系认证、环境管理体系认证、职业健康安全管理体系认证的，提供齐全得 9 分，每缺一项扣 3 分，扣完为止；</w:t>
            </w:r>
          </w:p>
          <w:p>
            <w:pPr>
              <w:pStyle w:val="11"/>
              <w:spacing w:before="2" w:line="242" w:lineRule="auto"/>
              <w:ind w:left="107" w:right="96"/>
              <w:jc w:val="both"/>
              <w:rPr>
                <w:sz w:val="21"/>
              </w:rPr>
            </w:pPr>
            <w:r>
              <w:rPr>
                <w:w w:val="95"/>
                <w:sz w:val="21"/>
              </w:rPr>
              <w:t>2、在施工期间不拖欠农民工工</w:t>
            </w:r>
            <w:r>
              <w:rPr>
                <w:sz w:val="21"/>
              </w:rPr>
              <w:t>资，在农忙季节及业主资金不到位时，连续施工的承诺 0-3 分；</w:t>
            </w:r>
          </w:p>
          <w:p>
            <w:pPr>
              <w:pStyle w:val="11"/>
              <w:spacing w:before="2" w:line="244" w:lineRule="auto"/>
              <w:ind w:left="107" w:right="98"/>
              <w:jc w:val="both"/>
              <w:rPr>
                <w:sz w:val="21"/>
              </w:rPr>
            </w:pPr>
            <w:r>
              <w:rPr>
                <w:sz w:val="21"/>
              </w:rPr>
              <w:t>3、缺陷责任期、保修期以内及以外的服务承诺 0-3 分；</w:t>
            </w:r>
          </w:p>
          <w:p>
            <w:pPr>
              <w:pStyle w:val="11"/>
              <w:spacing w:line="242" w:lineRule="auto"/>
              <w:ind w:left="107" w:right="96"/>
              <w:jc w:val="both"/>
              <w:rPr>
                <w:sz w:val="21"/>
              </w:rPr>
            </w:pPr>
            <w:r>
              <w:rPr>
                <w:w w:val="95"/>
                <w:sz w:val="21"/>
              </w:rPr>
              <w:t>4、投标人负责协调周边群众关</w:t>
            </w:r>
            <w:r>
              <w:rPr>
                <w:sz w:val="21"/>
              </w:rPr>
              <w:t>系并承担相应费用的承诺 0-3 分；</w:t>
            </w:r>
          </w:p>
          <w:p>
            <w:pPr>
              <w:pStyle w:val="11"/>
              <w:spacing w:line="251" w:lineRule="exact"/>
              <w:ind w:left="107"/>
              <w:rPr>
                <w:sz w:val="21"/>
              </w:rPr>
            </w:pPr>
            <w:r>
              <w:rPr>
                <w:sz w:val="21"/>
              </w:rPr>
              <w:t>5、与招标人、监理单位积极配</w:t>
            </w:r>
          </w:p>
        </w:tc>
      </w:tr>
    </w:tbl>
    <w:p>
      <w:pPr>
        <w:spacing w:after="0" w:line="251" w:lineRule="exact"/>
        <w:rPr>
          <w:sz w:val="21"/>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1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2"/>
        <w:gridCol w:w="632"/>
        <w:gridCol w:w="926"/>
        <w:gridCol w:w="869"/>
        <w:gridCol w:w="2923"/>
        <w:gridCol w:w="850"/>
        <w:gridCol w:w="30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712" w:type="dxa"/>
            <w:vMerge w:val="restart"/>
          </w:tcPr>
          <w:p>
            <w:pPr>
              <w:pStyle w:val="11"/>
              <w:rPr>
                <w:rFonts w:ascii="Times New Roman"/>
                <w:sz w:val="20"/>
              </w:rPr>
            </w:pPr>
          </w:p>
          <w:p>
            <w:pPr>
              <w:pStyle w:val="11"/>
              <w:rPr>
                <w:rFonts w:ascii="Times New Roman"/>
                <w:sz w:val="25"/>
              </w:rPr>
            </w:pPr>
          </w:p>
          <w:p>
            <w:pPr>
              <w:pStyle w:val="11"/>
              <w:spacing w:line="242" w:lineRule="auto"/>
              <w:ind w:left="249" w:right="136" w:hanging="106"/>
              <w:rPr>
                <w:b/>
                <w:sz w:val="21"/>
              </w:rPr>
            </w:pPr>
            <w:r>
              <w:rPr>
                <w:b/>
                <w:sz w:val="21"/>
              </w:rPr>
              <w:t>条款号</w:t>
            </w:r>
          </w:p>
        </w:tc>
        <w:tc>
          <w:tcPr>
            <w:tcW w:w="6200" w:type="dxa"/>
            <w:gridSpan w:val="5"/>
          </w:tcPr>
          <w:p>
            <w:pPr>
              <w:pStyle w:val="11"/>
              <w:spacing w:before="122"/>
              <w:ind w:left="2130" w:right="2122"/>
              <w:jc w:val="center"/>
              <w:rPr>
                <w:b/>
                <w:sz w:val="21"/>
              </w:rPr>
            </w:pPr>
            <w:r>
              <w:rPr>
                <w:b/>
                <w:sz w:val="21"/>
              </w:rPr>
              <w:t>评分因素与权重分值</w:t>
            </w:r>
          </w:p>
        </w:tc>
        <w:tc>
          <w:tcPr>
            <w:tcW w:w="3050" w:type="dxa"/>
            <w:vMerge w:val="restart"/>
          </w:tcPr>
          <w:p>
            <w:pPr>
              <w:pStyle w:val="11"/>
              <w:rPr>
                <w:rFonts w:ascii="Times New Roman"/>
                <w:sz w:val="20"/>
              </w:rPr>
            </w:pPr>
          </w:p>
          <w:p>
            <w:pPr>
              <w:pStyle w:val="11"/>
              <w:rPr>
                <w:rFonts w:ascii="Times New Roman"/>
                <w:sz w:val="20"/>
              </w:rPr>
            </w:pPr>
          </w:p>
          <w:p>
            <w:pPr>
              <w:pStyle w:val="11"/>
              <w:spacing w:before="10"/>
              <w:rPr>
                <w:rFonts w:ascii="Times New Roman"/>
                <w:sz w:val="16"/>
              </w:rPr>
            </w:pPr>
          </w:p>
          <w:p>
            <w:pPr>
              <w:pStyle w:val="11"/>
              <w:spacing w:before="1"/>
              <w:ind w:left="1083" w:right="1073"/>
              <w:jc w:val="center"/>
              <w:rPr>
                <w:b/>
                <w:sz w:val="21"/>
              </w:rPr>
            </w:pPr>
            <w:r>
              <w:rPr>
                <w:b/>
                <w:sz w:val="21"/>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7" w:hRule="atLeast"/>
        </w:trPr>
        <w:tc>
          <w:tcPr>
            <w:tcW w:w="712" w:type="dxa"/>
            <w:vMerge w:val="continue"/>
            <w:tcBorders>
              <w:top w:val="nil"/>
            </w:tcBorders>
          </w:tcPr>
          <w:p>
            <w:pPr>
              <w:rPr>
                <w:sz w:val="2"/>
                <w:szCs w:val="2"/>
              </w:rPr>
            </w:pPr>
          </w:p>
        </w:tc>
        <w:tc>
          <w:tcPr>
            <w:tcW w:w="1558" w:type="dxa"/>
            <w:gridSpan w:val="2"/>
          </w:tcPr>
          <w:p>
            <w:pPr>
              <w:pStyle w:val="11"/>
              <w:rPr>
                <w:rFonts w:ascii="Times New Roman"/>
                <w:sz w:val="20"/>
              </w:rPr>
            </w:pPr>
          </w:p>
          <w:p>
            <w:pPr>
              <w:pStyle w:val="11"/>
              <w:spacing w:before="162"/>
              <w:ind w:left="355"/>
              <w:rPr>
                <w:b/>
                <w:sz w:val="21"/>
              </w:rPr>
            </w:pPr>
            <w:r>
              <w:rPr>
                <w:b/>
                <w:sz w:val="21"/>
              </w:rPr>
              <w:t>评分因素</w:t>
            </w:r>
          </w:p>
        </w:tc>
        <w:tc>
          <w:tcPr>
            <w:tcW w:w="869" w:type="dxa"/>
          </w:tcPr>
          <w:p>
            <w:pPr>
              <w:pStyle w:val="11"/>
              <w:spacing w:before="121" w:line="242" w:lineRule="auto"/>
              <w:ind w:left="117" w:right="107"/>
              <w:jc w:val="both"/>
              <w:rPr>
                <w:b/>
                <w:sz w:val="21"/>
              </w:rPr>
            </w:pPr>
            <w:r>
              <w:rPr>
                <w:b/>
                <w:sz w:val="21"/>
              </w:rPr>
              <w:t>评分因素权重分值</w:t>
            </w:r>
          </w:p>
        </w:tc>
        <w:tc>
          <w:tcPr>
            <w:tcW w:w="2923" w:type="dxa"/>
          </w:tcPr>
          <w:p>
            <w:pPr>
              <w:pStyle w:val="11"/>
              <w:rPr>
                <w:rFonts w:ascii="Times New Roman"/>
                <w:sz w:val="20"/>
              </w:rPr>
            </w:pPr>
          </w:p>
          <w:p>
            <w:pPr>
              <w:pStyle w:val="11"/>
              <w:spacing w:before="162"/>
              <w:ind w:left="616"/>
              <w:rPr>
                <w:b/>
                <w:sz w:val="21"/>
              </w:rPr>
            </w:pPr>
            <w:r>
              <w:rPr>
                <w:b/>
                <w:sz w:val="21"/>
              </w:rPr>
              <w:t>各评分因素细分项</w:t>
            </w:r>
          </w:p>
        </w:tc>
        <w:tc>
          <w:tcPr>
            <w:tcW w:w="850" w:type="dxa"/>
          </w:tcPr>
          <w:p>
            <w:pPr>
              <w:pStyle w:val="11"/>
              <w:rPr>
                <w:rFonts w:ascii="Times New Roman"/>
                <w:sz w:val="20"/>
              </w:rPr>
            </w:pPr>
          </w:p>
          <w:p>
            <w:pPr>
              <w:pStyle w:val="11"/>
              <w:spacing w:before="162"/>
              <w:ind w:left="213"/>
              <w:rPr>
                <w:b/>
                <w:sz w:val="21"/>
              </w:rPr>
            </w:pPr>
            <w:r>
              <w:rPr>
                <w:b/>
                <w:sz w:val="21"/>
              </w:rPr>
              <w:t>分值</w:t>
            </w:r>
          </w:p>
        </w:tc>
        <w:tc>
          <w:tcPr>
            <w:tcW w:w="305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712" w:type="dxa"/>
            <w:vMerge w:val="restart"/>
          </w:tcPr>
          <w:p>
            <w:pPr>
              <w:pStyle w:val="11"/>
              <w:rPr>
                <w:rFonts w:ascii="Times New Roman"/>
                <w:sz w:val="20"/>
              </w:rPr>
            </w:pPr>
          </w:p>
        </w:tc>
        <w:tc>
          <w:tcPr>
            <w:tcW w:w="632" w:type="dxa"/>
            <w:vMerge w:val="restart"/>
          </w:tcPr>
          <w:p>
            <w:pPr>
              <w:pStyle w:val="11"/>
              <w:rPr>
                <w:rFonts w:ascii="Times New Roman"/>
                <w:sz w:val="20"/>
              </w:rPr>
            </w:pPr>
          </w:p>
        </w:tc>
        <w:tc>
          <w:tcPr>
            <w:tcW w:w="926" w:type="dxa"/>
          </w:tcPr>
          <w:p>
            <w:pPr>
              <w:pStyle w:val="11"/>
              <w:rPr>
                <w:rFonts w:ascii="Times New Roman"/>
                <w:sz w:val="20"/>
              </w:rPr>
            </w:pPr>
          </w:p>
        </w:tc>
        <w:tc>
          <w:tcPr>
            <w:tcW w:w="869" w:type="dxa"/>
          </w:tcPr>
          <w:p>
            <w:pPr>
              <w:pStyle w:val="11"/>
              <w:rPr>
                <w:rFonts w:ascii="Times New Roman"/>
                <w:sz w:val="20"/>
              </w:rPr>
            </w:pPr>
          </w:p>
        </w:tc>
        <w:tc>
          <w:tcPr>
            <w:tcW w:w="2923" w:type="dxa"/>
          </w:tcPr>
          <w:p>
            <w:pPr>
              <w:pStyle w:val="11"/>
              <w:rPr>
                <w:rFonts w:ascii="Times New Roman"/>
                <w:sz w:val="20"/>
              </w:rPr>
            </w:pPr>
          </w:p>
        </w:tc>
        <w:tc>
          <w:tcPr>
            <w:tcW w:w="850" w:type="dxa"/>
          </w:tcPr>
          <w:p>
            <w:pPr>
              <w:pStyle w:val="11"/>
              <w:rPr>
                <w:rFonts w:ascii="Times New Roman"/>
                <w:sz w:val="20"/>
              </w:rPr>
            </w:pPr>
          </w:p>
        </w:tc>
        <w:tc>
          <w:tcPr>
            <w:tcW w:w="3050" w:type="dxa"/>
          </w:tcPr>
          <w:p>
            <w:pPr>
              <w:pStyle w:val="11"/>
              <w:spacing w:before="2"/>
              <w:ind w:left="107"/>
              <w:rPr>
                <w:sz w:val="21"/>
              </w:rPr>
            </w:pPr>
            <w:r>
              <w:rPr>
                <w:sz w:val="21"/>
              </w:rPr>
              <w:t>合的承诺 0-4 分；</w:t>
            </w:r>
          </w:p>
          <w:p>
            <w:pPr>
              <w:pStyle w:val="11"/>
              <w:spacing w:before="2" w:line="242" w:lineRule="auto"/>
              <w:ind w:left="107" w:right="98"/>
              <w:rPr>
                <w:sz w:val="21"/>
              </w:rPr>
            </w:pPr>
            <w:r>
              <w:rPr>
                <w:sz w:val="21"/>
              </w:rPr>
              <w:t>6、确保按时办理工程验收的承诺 0-3 分。</w:t>
            </w:r>
          </w:p>
          <w:p>
            <w:pPr>
              <w:pStyle w:val="11"/>
              <w:spacing w:before="1" w:line="252" w:lineRule="exact"/>
              <w:ind w:left="107"/>
              <w:rPr>
                <w:sz w:val="21"/>
              </w:rPr>
            </w:pPr>
            <w:r>
              <w:rPr>
                <w:sz w:val="21"/>
              </w:rPr>
              <w:t>（如有缺项，该小项不得分）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712" w:type="dxa"/>
            <w:vMerge w:val="continue"/>
            <w:tcBorders>
              <w:top w:val="nil"/>
            </w:tcBorders>
          </w:tcPr>
          <w:p>
            <w:pPr>
              <w:rPr>
                <w:sz w:val="2"/>
                <w:szCs w:val="2"/>
              </w:rPr>
            </w:pPr>
          </w:p>
        </w:tc>
        <w:tc>
          <w:tcPr>
            <w:tcW w:w="632" w:type="dxa"/>
            <w:vMerge w:val="continue"/>
            <w:tcBorders>
              <w:top w:val="nil"/>
            </w:tcBorders>
          </w:tcPr>
          <w:p>
            <w:pPr>
              <w:rPr>
                <w:sz w:val="2"/>
                <w:szCs w:val="2"/>
              </w:rPr>
            </w:pPr>
          </w:p>
        </w:tc>
        <w:tc>
          <w:tcPr>
            <w:tcW w:w="926" w:type="dxa"/>
          </w:tcPr>
          <w:p>
            <w:pPr>
              <w:pStyle w:val="11"/>
              <w:rPr>
                <w:rFonts w:ascii="Times New Roman"/>
                <w:sz w:val="20"/>
              </w:rPr>
            </w:pPr>
          </w:p>
          <w:p>
            <w:pPr>
              <w:pStyle w:val="11"/>
              <w:rPr>
                <w:rFonts w:ascii="Times New Roman"/>
                <w:sz w:val="20"/>
              </w:rPr>
            </w:pPr>
          </w:p>
          <w:p>
            <w:pPr>
              <w:pStyle w:val="11"/>
              <w:spacing w:before="1"/>
              <w:rPr>
                <w:rFonts w:ascii="Times New Roman"/>
                <w:sz w:val="19"/>
              </w:rPr>
            </w:pPr>
          </w:p>
          <w:p>
            <w:pPr>
              <w:pStyle w:val="11"/>
              <w:spacing w:line="242" w:lineRule="auto"/>
              <w:ind w:left="107" w:right="98"/>
              <w:rPr>
                <w:sz w:val="21"/>
              </w:rPr>
            </w:pPr>
            <w:r>
              <w:rPr>
                <w:sz w:val="21"/>
              </w:rPr>
              <w:t>企业业绩</w:t>
            </w:r>
          </w:p>
        </w:tc>
        <w:tc>
          <w:tcPr>
            <w:tcW w:w="869"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8"/>
              <w:rPr>
                <w:sz w:val="21"/>
              </w:rPr>
            </w:pPr>
            <w:r>
              <w:rPr>
                <w:sz w:val="21"/>
                <w:u w:val="single"/>
              </w:rPr>
              <w:t>5 分</w:t>
            </w:r>
          </w:p>
        </w:tc>
        <w:tc>
          <w:tcPr>
            <w:tcW w:w="2923"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7"/>
              <w:rPr>
                <w:sz w:val="21"/>
              </w:rPr>
            </w:pPr>
            <w:r>
              <w:rPr>
                <w:sz w:val="21"/>
              </w:rPr>
              <w:t>类似项目业绩</w:t>
            </w:r>
          </w:p>
        </w:tc>
        <w:tc>
          <w:tcPr>
            <w:tcW w:w="850" w:type="dxa"/>
          </w:tcPr>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127"/>
              <w:ind w:left="108"/>
              <w:rPr>
                <w:sz w:val="21"/>
              </w:rPr>
            </w:pPr>
            <w:r>
              <w:rPr>
                <w:sz w:val="21"/>
                <w:u w:val="single"/>
              </w:rPr>
              <w:t>5</w:t>
            </w:r>
            <w:r>
              <w:rPr>
                <w:sz w:val="21"/>
              </w:rPr>
              <w:t xml:space="preserve"> 分</w:t>
            </w:r>
          </w:p>
        </w:tc>
        <w:tc>
          <w:tcPr>
            <w:tcW w:w="3050" w:type="dxa"/>
          </w:tcPr>
          <w:p>
            <w:pPr>
              <w:pStyle w:val="11"/>
              <w:spacing w:before="1" w:line="242" w:lineRule="auto"/>
              <w:ind w:left="107" w:right="-15"/>
              <w:rPr>
                <w:sz w:val="21"/>
              </w:rPr>
            </w:pPr>
            <w:r>
              <w:rPr>
                <w:spacing w:val="8"/>
                <w:sz w:val="21"/>
              </w:rPr>
              <w:t>投标人类似项目业绩达到资格审查条件（业绩最低要求）后， 再提供一份与资格审查业绩同</w:t>
            </w:r>
            <w:r>
              <w:rPr>
                <w:spacing w:val="2"/>
                <w:sz w:val="21"/>
              </w:rPr>
              <w:t xml:space="preserve">等条件的施工业绩的，得 </w:t>
            </w:r>
            <w:r>
              <w:rPr>
                <w:sz w:val="21"/>
              </w:rPr>
              <w:t>5</w:t>
            </w:r>
            <w:r>
              <w:rPr>
                <w:spacing w:val="-19"/>
                <w:sz w:val="21"/>
              </w:rPr>
              <w:t xml:space="preserve"> 分。</w:t>
            </w:r>
          </w:p>
          <w:p>
            <w:pPr>
              <w:pStyle w:val="11"/>
              <w:ind w:left="107"/>
              <w:rPr>
                <w:sz w:val="21"/>
              </w:rPr>
            </w:pPr>
            <w:r>
              <w:rPr>
                <w:sz w:val="21"/>
              </w:rPr>
              <w:t>（以合同签订时间为准，提供</w:t>
            </w:r>
          </w:p>
          <w:p>
            <w:pPr>
              <w:pStyle w:val="11"/>
              <w:spacing w:before="3" w:line="270" w:lineRule="atLeast"/>
              <w:ind w:left="107" w:right="-15"/>
              <w:rPr>
                <w:sz w:val="21"/>
              </w:rPr>
            </w:pPr>
            <w:r>
              <w:rPr>
                <w:spacing w:val="8"/>
                <w:sz w:val="21"/>
              </w:rPr>
              <w:t>中标通知书、国家指定媒介的中标公示截图、合同协议书）。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9962" w:type="dxa"/>
            <w:gridSpan w:val="7"/>
          </w:tcPr>
          <w:p>
            <w:pPr>
              <w:pStyle w:val="11"/>
              <w:spacing w:line="242" w:lineRule="auto"/>
              <w:ind w:left="107" w:right="98"/>
              <w:jc w:val="both"/>
              <w:rPr>
                <w:sz w:val="21"/>
              </w:rPr>
            </w:pPr>
            <w:r>
              <w:rPr>
                <w:sz w:val="21"/>
              </w:rPr>
              <w:t>需要补充的其他内容：招标人应根据项目具体情况确定各评分因素及评分因素权重分值，并对各评分因素</w:t>
            </w:r>
            <w:r>
              <w:rPr>
                <w:spacing w:val="-9"/>
                <w:sz w:val="21"/>
              </w:rPr>
              <w:t>进行细分</w:t>
            </w:r>
            <w:r>
              <w:rPr>
                <w:spacing w:val="-3"/>
                <w:sz w:val="21"/>
              </w:rPr>
              <w:t>（</w:t>
            </w:r>
            <w:r>
              <w:rPr>
                <w:sz w:val="21"/>
              </w:rPr>
              <w:t>如有</w:t>
            </w:r>
            <w:r>
              <w:rPr>
                <w:spacing w:val="-39"/>
                <w:sz w:val="21"/>
              </w:rPr>
              <w:t>）</w:t>
            </w:r>
            <w:r>
              <w:rPr>
                <w:spacing w:val="-10"/>
                <w:sz w:val="21"/>
              </w:rPr>
              <w:t xml:space="preserve">、确定各评分因素细分项的分值，各评分因素权重分值合计应为 </w:t>
            </w:r>
            <w:r>
              <w:rPr>
                <w:sz w:val="21"/>
              </w:rPr>
              <w:t>100</w:t>
            </w:r>
            <w:r>
              <w:rPr>
                <w:spacing w:val="-13"/>
                <w:sz w:val="21"/>
              </w:rPr>
              <w:t xml:space="preserve"> 分。各评分因素</w:t>
            </w:r>
            <w:r>
              <w:rPr>
                <w:sz w:val="21"/>
              </w:rPr>
              <w:t>（评标价和履约信誉评分项除外）</w:t>
            </w:r>
            <w:r>
              <w:rPr>
                <w:spacing w:val="1"/>
                <w:sz w:val="21"/>
              </w:rPr>
              <w:t xml:space="preserve">得分一般不得低于其权重分值的 </w:t>
            </w:r>
            <w:r>
              <w:rPr>
                <w:sz w:val="21"/>
              </w:rPr>
              <w:t>60%，且各评分因素得分应以评标委员会各</w:t>
            </w:r>
          </w:p>
          <w:p>
            <w:pPr>
              <w:pStyle w:val="11"/>
              <w:spacing w:before="2" w:line="270" w:lineRule="atLeast"/>
              <w:ind w:left="107" w:right="98"/>
              <w:jc w:val="both"/>
              <w:rPr>
                <w:sz w:val="21"/>
              </w:rPr>
            </w:pPr>
            <w:r>
              <w:rPr>
                <w:spacing w:val="-2"/>
                <w:sz w:val="21"/>
              </w:rPr>
              <w:t xml:space="preserve">成员的打分平均值确定，评标委员会成员总数为 </w:t>
            </w:r>
            <w:r>
              <w:rPr>
                <w:sz w:val="21"/>
              </w:rPr>
              <w:t>7</w:t>
            </w:r>
            <w:r>
              <w:rPr>
                <w:spacing w:val="-5"/>
                <w:sz w:val="21"/>
              </w:rPr>
              <w:t xml:space="preserve"> 人以上时，该平均值以去掉一个最高分和一个最低分后计算。评标委员会成员对某一项评分因素的评分低于权重分值 </w:t>
            </w:r>
            <w:r>
              <w:rPr>
                <w:sz w:val="21"/>
              </w:rPr>
              <w:t>60%的，应在评标报告中作出说明。</w:t>
            </w:r>
          </w:p>
        </w:tc>
      </w:tr>
    </w:tbl>
    <w:p>
      <w:pPr>
        <w:spacing w:after="0" w:line="270" w:lineRule="atLeast"/>
        <w:jc w:val="both"/>
        <w:rPr>
          <w:sz w:val="21"/>
        </w:rPr>
        <w:sectPr>
          <w:footerReference r:id="rId11" w:type="default"/>
          <w:pgSz w:w="11910" w:h="16840"/>
          <w:pgMar w:top="1380" w:right="720" w:bottom="1080" w:left="820" w:header="746" w:footer="891" w:gutter="0"/>
          <w:pgNumType w:start="40"/>
          <w:cols w:space="720" w:num="1"/>
        </w:sectPr>
      </w:pPr>
    </w:p>
    <w:p>
      <w:pPr>
        <w:pStyle w:val="5"/>
        <w:ind w:left="0"/>
        <w:rPr>
          <w:rFonts w:ascii="Times New Roman"/>
          <w:sz w:val="20"/>
        </w:rPr>
      </w:pPr>
    </w:p>
    <w:p>
      <w:pPr>
        <w:pStyle w:val="5"/>
        <w:spacing w:before="6"/>
        <w:ind w:left="0"/>
        <w:rPr>
          <w:rFonts w:ascii="Times New Roman"/>
          <w:sz w:val="27"/>
        </w:rPr>
      </w:pPr>
    </w:p>
    <w:p>
      <w:pPr>
        <w:pStyle w:val="10"/>
        <w:numPr>
          <w:ilvl w:val="0"/>
          <w:numId w:val="30"/>
        </w:numPr>
        <w:tabs>
          <w:tab w:val="left" w:pos="1382"/>
        </w:tabs>
        <w:spacing w:before="66" w:after="0" w:line="240" w:lineRule="auto"/>
        <w:ind w:left="1381" w:right="0" w:hanging="362"/>
        <w:jc w:val="left"/>
        <w:rPr>
          <w:sz w:val="24"/>
        </w:rPr>
      </w:pPr>
      <w:r>
        <w:rPr>
          <w:sz w:val="24"/>
        </w:rPr>
        <w:t>评标方法</w:t>
      </w:r>
    </w:p>
    <w:p>
      <w:pPr>
        <w:pStyle w:val="5"/>
        <w:spacing w:before="161" w:line="364" w:lineRule="auto"/>
        <w:ind w:right="639" w:firstLine="960"/>
        <w:jc w:val="both"/>
      </w:pPr>
      <w:r>
        <w:t>本次评标采用技术评分最低标价法。评标委员会对满足招标文件实质性要求的投标文件的施工组织设计、主要人员、技术能力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p>
    <w:p>
      <w:pPr>
        <w:pStyle w:val="10"/>
        <w:numPr>
          <w:ilvl w:val="0"/>
          <w:numId w:val="30"/>
        </w:numPr>
        <w:tabs>
          <w:tab w:val="left" w:pos="1382"/>
        </w:tabs>
        <w:spacing w:before="0" w:after="0" w:line="304" w:lineRule="exact"/>
        <w:ind w:left="1381" w:right="0" w:hanging="362"/>
        <w:jc w:val="left"/>
        <w:rPr>
          <w:sz w:val="24"/>
        </w:rPr>
      </w:pPr>
      <w:r>
        <w:rPr>
          <w:sz w:val="24"/>
        </w:rPr>
        <w:t>评审标准</w:t>
      </w:r>
    </w:p>
    <w:p>
      <w:pPr>
        <w:pStyle w:val="10"/>
        <w:numPr>
          <w:ilvl w:val="1"/>
          <w:numId w:val="30"/>
        </w:numPr>
        <w:tabs>
          <w:tab w:val="left" w:pos="1622"/>
        </w:tabs>
        <w:spacing w:before="160" w:after="0" w:line="240" w:lineRule="auto"/>
        <w:ind w:left="1621" w:right="0" w:hanging="602"/>
        <w:jc w:val="left"/>
        <w:rPr>
          <w:sz w:val="24"/>
        </w:rPr>
      </w:pPr>
      <w:r>
        <w:rPr>
          <w:sz w:val="24"/>
        </w:rPr>
        <w:t>初步评审标准</w:t>
      </w:r>
    </w:p>
    <w:p>
      <w:pPr>
        <w:pStyle w:val="10"/>
        <w:numPr>
          <w:ilvl w:val="2"/>
          <w:numId w:val="30"/>
        </w:numPr>
        <w:tabs>
          <w:tab w:val="left" w:pos="2161"/>
        </w:tabs>
        <w:spacing w:before="158" w:after="0" w:line="240" w:lineRule="auto"/>
        <w:ind w:left="2160" w:right="0" w:hanging="661"/>
        <w:jc w:val="left"/>
        <w:rPr>
          <w:sz w:val="24"/>
        </w:rPr>
      </w:pPr>
      <w:r>
        <w:rPr>
          <w:sz w:val="24"/>
        </w:rPr>
        <w:t>形式评审标准：见评标办法前附表。</w:t>
      </w:r>
    </w:p>
    <w:p>
      <w:pPr>
        <w:pStyle w:val="10"/>
        <w:numPr>
          <w:ilvl w:val="2"/>
          <w:numId w:val="30"/>
        </w:numPr>
        <w:tabs>
          <w:tab w:val="left" w:pos="2161"/>
        </w:tabs>
        <w:spacing w:before="161" w:after="0" w:line="240" w:lineRule="auto"/>
        <w:ind w:left="2160" w:right="0" w:hanging="661"/>
        <w:jc w:val="left"/>
        <w:rPr>
          <w:sz w:val="24"/>
        </w:rPr>
      </w:pPr>
      <w:r>
        <w:rPr>
          <w:sz w:val="24"/>
        </w:rPr>
        <w:t>资格评审标准：见评标办法前附表。</w:t>
      </w:r>
    </w:p>
    <w:p>
      <w:pPr>
        <w:pStyle w:val="10"/>
        <w:numPr>
          <w:ilvl w:val="2"/>
          <w:numId w:val="30"/>
        </w:numPr>
        <w:tabs>
          <w:tab w:val="left" w:pos="2161"/>
        </w:tabs>
        <w:spacing w:before="158" w:after="0" w:line="364" w:lineRule="auto"/>
        <w:ind w:left="1020" w:right="4124" w:firstLine="480"/>
        <w:jc w:val="left"/>
        <w:rPr>
          <w:sz w:val="24"/>
        </w:rPr>
      </w:pPr>
      <w:r>
        <w:rPr>
          <w:spacing w:val="-1"/>
          <w:sz w:val="24"/>
        </w:rPr>
        <w:t>响应性评审标准：见评标办法前附表。</w:t>
      </w:r>
      <w:r>
        <w:rPr>
          <w:sz w:val="24"/>
        </w:rPr>
        <w:t>2.2．分值构成与评分标准</w:t>
      </w:r>
    </w:p>
    <w:p>
      <w:pPr>
        <w:pStyle w:val="10"/>
        <w:numPr>
          <w:ilvl w:val="2"/>
          <w:numId w:val="31"/>
        </w:numPr>
        <w:tabs>
          <w:tab w:val="left" w:pos="2161"/>
        </w:tabs>
        <w:spacing w:before="1" w:after="0" w:line="240" w:lineRule="auto"/>
        <w:ind w:left="2160" w:right="0" w:hanging="661"/>
        <w:jc w:val="left"/>
        <w:rPr>
          <w:sz w:val="24"/>
        </w:rPr>
      </w:pPr>
      <w:r>
        <w:rPr>
          <w:sz w:val="24"/>
        </w:rPr>
        <w:t>技术标评分分值构成</w:t>
      </w:r>
    </w:p>
    <w:p>
      <w:pPr>
        <w:pStyle w:val="10"/>
        <w:numPr>
          <w:ilvl w:val="0"/>
          <w:numId w:val="32"/>
        </w:numPr>
        <w:tabs>
          <w:tab w:val="left" w:pos="2102"/>
        </w:tabs>
        <w:spacing w:before="158" w:after="0" w:line="240" w:lineRule="auto"/>
        <w:ind w:left="2101" w:right="0" w:hanging="602"/>
        <w:jc w:val="left"/>
        <w:rPr>
          <w:sz w:val="24"/>
        </w:rPr>
      </w:pPr>
      <w:r>
        <w:rPr>
          <w:sz w:val="24"/>
        </w:rPr>
        <w:t>施工组织设计：见评标办法前附表；</w:t>
      </w:r>
    </w:p>
    <w:p>
      <w:pPr>
        <w:pStyle w:val="10"/>
        <w:numPr>
          <w:ilvl w:val="0"/>
          <w:numId w:val="32"/>
        </w:numPr>
        <w:tabs>
          <w:tab w:val="left" w:pos="2102"/>
        </w:tabs>
        <w:spacing w:before="158" w:after="0" w:line="240" w:lineRule="auto"/>
        <w:ind w:left="2101" w:right="0" w:hanging="602"/>
        <w:jc w:val="left"/>
        <w:rPr>
          <w:sz w:val="24"/>
        </w:rPr>
      </w:pPr>
      <w:r>
        <w:rPr>
          <w:sz w:val="24"/>
        </w:rPr>
        <w:t>主要人员：见评标办法前附表；</w:t>
      </w:r>
    </w:p>
    <w:p>
      <w:pPr>
        <w:pStyle w:val="10"/>
        <w:numPr>
          <w:ilvl w:val="0"/>
          <w:numId w:val="32"/>
        </w:numPr>
        <w:tabs>
          <w:tab w:val="left" w:pos="2102"/>
        </w:tabs>
        <w:spacing w:before="161" w:after="0" w:line="240" w:lineRule="auto"/>
        <w:ind w:left="2101" w:right="0" w:hanging="602"/>
        <w:jc w:val="left"/>
        <w:rPr>
          <w:sz w:val="24"/>
        </w:rPr>
      </w:pPr>
      <w:r>
        <w:rPr>
          <w:sz w:val="24"/>
        </w:rPr>
        <w:t>其他评分因素：见评标办法前附表。</w:t>
      </w:r>
    </w:p>
    <w:p>
      <w:pPr>
        <w:pStyle w:val="10"/>
        <w:numPr>
          <w:ilvl w:val="2"/>
          <w:numId w:val="31"/>
        </w:numPr>
        <w:tabs>
          <w:tab w:val="left" w:pos="2161"/>
        </w:tabs>
        <w:spacing w:before="158" w:after="0" w:line="240" w:lineRule="auto"/>
        <w:ind w:left="2160" w:right="0" w:hanging="661"/>
        <w:jc w:val="left"/>
        <w:rPr>
          <w:sz w:val="24"/>
        </w:rPr>
      </w:pPr>
      <w:r>
        <w:rPr>
          <w:sz w:val="24"/>
        </w:rPr>
        <w:t>技术标评分评分标准</w:t>
      </w:r>
    </w:p>
    <w:p>
      <w:pPr>
        <w:pStyle w:val="10"/>
        <w:numPr>
          <w:ilvl w:val="0"/>
          <w:numId w:val="33"/>
        </w:numPr>
        <w:tabs>
          <w:tab w:val="left" w:pos="2102"/>
        </w:tabs>
        <w:spacing w:before="160" w:after="0" w:line="240" w:lineRule="auto"/>
        <w:ind w:left="2101" w:right="0" w:hanging="602"/>
        <w:jc w:val="left"/>
        <w:rPr>
          <w:sz w:val="24"/>
        </w:rPr>
      </w:pPr>
      <w:r>
        <w:rPr>
          <w:sz w:val="24"/>
        </w:rPr>
        <w:t>施工组织设计评分标准：见评标办法前附表；</w:t>
      </w:r>
    </w:p>
    <w:p>
      <w:pPr>
        <w:pStyle w:val="10"/>
        <w:numPr>
          <w:ilvl w:val="0"/>
          <w:numId w:val="33"/>
        </w:numPr>
        <w:tabs>
          <w:tab w:val="left" w:pos="2102"/>
        </w:tabs>
        <w:spacing w:before="161" w:after="0" w:line="240" w:lineRule="auto"/>
        <w:ind w:left="2101" w:right="0" w:hanging="602"/>
        <w:jc w:val="left"/>
        <w:rPr>
          <w:sz w:val="24"/>
        </w:rPr>
      </w:pPr>
      <w:r>
        <w:rPr>
          <w:sz w:val="24"/>
        </w:rPr>
        <w:t>主要人员评分标准：见评标办法前附表；</w:t>
      </w:r>
    </w:p>
    <w:p>
      <w:pPr>
        <w:pStyle w:val="10"/>
        <w:numPr>
          <w:ilvl w:val="0"/>
          <w:numId w:val="33"/>
        </w:numPr>
        <w:tabs>
          <w:tab w:val="left" w:pos="2102"/>
        </w:tabs>
        <w:spacing w:before="158" w:after="0" w:line="240" w:lineRule="auto"/>
        <w:ind w:left="2101" w:right="0" w:hanging="602"/>
        <w:jc w:val="left"/>
        <w:rPr>
          <w:sz w:val="24"/>
        </w:rPr>
      </w:pPr>
      <w:r>
        <w:rPr>
          <w:sz w:val="24"/>
        </w:rPr>
        <w:t>其他因素评分标准：见评标办法前附表。</w:t>
      </w:r>
    </w:p>
    <w:p>
      <w:pPr>
        <w:pStyle w:val="10"/>
        <w:numPr>
          <w:ilvl w:val="2"/>
          <w:numId w:val="31"/>
        </w:numPr>
        <w:tabs>
          <w:tab w:val="left" w:pos="2161"/>
        </w:tabs>
        <w:spacing w:before="160" w:after="0" w:line="362" w:lineRule="auto"/>
        <w:ind w:left="1020" w:right="4604" w:firstLine="480"/>
        <w:jc w:val="left"/>
        <w:rPr>
          <w:sz w:val="24"/>
        </w:rPr>
      </w:pPr>
      <w:r>
        <w:rPr>
          <w:spacing w:val="-2"/>
          <w:sz w:val="24"/>
        </w:rPr>
        <w:t>详细评审标准：见评标办法前附表</w:t>
      </w:r>
      <w:r>
        <w:rPr>
          <w:sz w:val="24"/>
        </w:rPr>
        <w:t>3．评标程序</w:t>
      </w:r>
    </w:p>
    <w:p>
      <w:pPr>
        <w:pStyle w:val="10"/>
        <w:numPr>
          <w:ilvl w:val="1"/>
          <w:numId w:val="34"/>
        </w:numPr>
        <w:tabs>
          <w:tab w:val="left" w:pos="1622"/>
        </w:tabs>
        <w:spacing w:before="5" w:after="0" w:line="240" w:lineRule="auto"/>
        <w:ind w:left="1621" w:right="0" w:hanging="602"/>
        <w:jc w:val="left"/>
        <w:rPr>
          <w:sz w:val="24"/>
        </w:rPr>
      </w:pPr>
      <w:r>
        <w:rPr>
          <w:sz w:val="24"/>
        </w:rPr>
        <w:t>初步评审</w:t>
      </w:r>
    </w:p>
    <w:p>
      <w:pPr>
        <w:pStyle w:val="10"/>
        <w:numPr>
          <w:ilvl w:val="2"/>
          <w:numId w:val="34"/>
        </w:numPr>
        <w:tabs>
          <w:tab w:val="left" w:pos="2161"/>
        </w:tabs>
        <w:spacing w:before="158" w:after="0" w:line="364" w:lineRule="auto"/>
        <w:ind w:left="540" w:right="639" w:firstLine="960"/>
        <w:jc w:val="left"/>
        <w:rPr>
          <w:sz w:val="24"/>
        </w:rPr>
      </w:pPr>
      <w:r>
        <w:rPr>
          <w:spacing w:val="-6"/>
          <w:sz w:val="24"/>
        </w:rPr>
        <w:t xml:space="preserve">评标委员会依据本章第 </w:t>
      </w:r>
      <w:r>
        <w:rPr>
          <w:sz w:val="24"/>
        </w:rPr>
        <w:t>2.1</w:t>
      </w:r>
      <w:r>
        <w:rPr>
          <w:spacing w:val="-15"/>
          <w:sz w:val="24"/>
        </w:rPr>
        <w:t xml:space="preserve"> 款规定的标准对投标文件第一部分</w:t>
      </w:r>
      <w:r>
        <w:rPr>
          <w:sz w:val="24"/>
        </w:rPr>
        <w:t>（</w:t>
      </w:r>
      <w:r>
        <w:rPr>
          <w:spacing w:val="-4"/>
          <w:sz w:val="24"/>
        </w:rPr>
        <w:t>商务及技</w:t>
      </w:r>
      <w:r>
        <w:rPr>
          <w:sz w:val="24"/>
        </w:rPr>
        <w:t>术文件）进行初步评审。有一项不符合评审标准的，评标委员会应否决其投标。</w:t>
      </w:r>
    </w:p>
    <w:p>
      <w:pPr>
        <w:pStyle w:val="10"/>
        <w:numPr>
          <w:ilvl w:val="1"/>
          <w:numId w:val="34"/>
        </w:numPr>
        <w:tabs>
          <w:tab w:val="left" w:pos="1622"/>
        </w:tabs>
        <w:spacing w:before="0" w:after="0" w:line="306" w:lineRule="exact"/>
        <w:ind w:left="1621" w:right="0" w:hanging="602"/>
        <w:jc w:val="left"/>
        <w:rPr>
          <w:sz w:val="24"/>
        </w:rPr>
      </w:pPr>
      <w:r>
        <w:rPr>
          <w:sz w:val="24"/>
        </w:rPr>
        <w:t>商务和技术文件详细评审</w:t>
      </w:r>
    </w:p>
    <w:p>
      <w:pPr>
        <w:pStyle w:val="10"/>
        <w:numPr>
          <w:ilvl w:val="2"/>
          <w:numId w:val="34"/>
        </w:numPr>
        <w:tabs>
          <w:tab w:val="left" w:pos="2161"/>
        </w:tabs>
        <w:spacing w:before="161" w:after="0" w:line="362" w:lineRule="auto"/>
        <w:ind w:left="540" w:right="639" w:firstLine="960"/>
        <w:jc w:val="left"/>
        <w:rPr>
          <w:sz w:val="24"/>
        </w:rPr>
      </w:pPr>
      <w:r>
        <w:rPr>
          <w:spacing w:val="-6"/>
          <w:sz w:val="24"/>
        </w:rPr>
        <w:t xml:space="preserve">评标委员会按本章第 </w:t>
      </w:r>
      <w:r>
        <w:rPr>
          <w:sz w:val="24"/>
        </w:rPr>
        <w:t>2.2</w:t>
      </w:r>
      <w:r>
        <w:rPr>
          <w:spacing w:val="-16"/>
          <w:sz w:val="24"/>
        </w:rPr>
        <w:t xml:space="preserve"> 款规定的量化因素和分值进行打分，并计算出各</w:t>
      </w:r>
      <w:r>
        <w:rPr>
          <w:sz w:val="24"/>
        </w:rPr>
        <w:t>投标人的商务和技术得分。</w:t>
      </w:r>
    </w:p>
    <w:p>
      <w:pPr>
        <w:spacing w:after="0" w:line="362" w:lineRule="auto"/>
        <w:jc w:val="left"/>
        <w:rPr>
          <w:sz w:val="24"/>
        </w:rPr>
        <w:sectPr>
          <w:pgSz w:w="11910" w:h="16840"/>
          <w:pgMar w:top="1380" w:right="720" w:bottom="1080" w:left="820" w:header="746" w:footer="891" w:gutter="0"/>
          <w:cols w:space="720" w:num="1"/>
        </w:sectPr>
      </w:pPr>
    </w:p>
    <w:p>
      <w:pPr>
        <w:pStyle w:val="10"/>
        <w:numPr>
          <w:ilvl w:val="0"/>
          <w:numId w:val="35"/>
        </w:numPr>
        <w:tabs>
          <w:tab w:val="left" w:pos="2108"/>
        </w:tabs>
        <w:spacing w:before="61" w:after="0" w:line="364" w:lineRule="auto"/>
        <w:ind w:left="540" w:right="639" w:firstLine="960"/>
        <w:jc w:val="left"/>
        <w:rPr>
          <w:sz w:val="24"/>
        </w:rPr>
      </w:pPr>
      <w:r>
        <w:rPr>
          <w:spacing w:val="-8"/>
          <w:sz w:val="24"/>
        </w:rPr>
        <w:t xml:space="preserve">按本章第 </w:t>
      </w:r>
      <w:r>
        <w:rPr>
          <w:sz w:val="24"/>
        </w:rPr>
        <w:t>2.2.2</w:t>
      </w:r>
      <w:r>
        <w:rPr>
          <w:spacing w:val="-19"/>
          <w:sz w:val="24"/>
        </w:rPr>
        <w:t xml:space="preserve"> 项</w:t>
      </w:r>
      <w:r>
        <w:rPr>
          <w:sz w:val="24"/>
        </w:rPr>
        <w:t>（1）目规定的评审因素和分值对施工组织设计部分计</w:t>
      </w:r>
      <w:r>
        <w:rPr>
          <w:spacing w:val="-12"/>
          <w:sz w:val="24"/>
        </w:rPr>
        <w:t xml:space="preserve">算出得分 </w:t>
      </w:r>
      <w:r>
        <w:rPr>
          <w:sz w:val="24"/>
        </w:rPr>
        <w:t>A；</w:t>
      </w:r>
    </w:p>
    <w:p>
      <w:pPr>
        <w:pStyle w:val="10"/>
        <w:numPr>
          <w:ilvl w:val="0"/>
          <w:numId w:val="35"/>
        </w:numPr>
        <w:tabs>
          <w:tab w:val="left" w:pos="2108"/>
        </w:tabs>
        <w:spacing w:before="0" w:after="0" w:line="306" w:lineRule="exact"/>
        <w:ind w:left="2108" w:right="0" w:hanging="608"/>
        <w:jc w:val="left"/>
        <w:rPr>
          <w:sz w:val="24"/>
        </w:rPr>
      </w:pPr>
      <w:r>
        <w:rPr>
          <w:spacing w:val="-11"/>
          <w:sz w:val="24"/>
        </w:rPr>
        <w:t xml:space="preserve">按本章第 </w:t>
      </w:r>
      <w:r>
        <w:rPr>
          <w:sz w:val="24"/>
        </w:rPr>
        <w:t>2.2.2</w:t>
      </w:r>
      <w:r>
        <w:rPr>
          <w:spacing w:val="-27"/>
          <w:sz w:val="24"/>
        </w:rPr>
        <w:t xml:space="preserve"> 项</w:t>
      </w:r>
      <w:r>
        <w:rPr>
          <w:sz w:val="24"/>
        </w:rPr>
        <w:t>（2）目规定的评审因素和分值对主要人员部分计算出</w:t>
      </w:r>
    </w:p>
    <w:p>
      <w:pPr>
        <w:spacing w:after="0" w:line="306" w:lineRule="exact"/>
        <w:jc w:val="left"/>
        <w:rPr>
          <w:sz w:val="24"/>
        </w:rPr>
        <w:sectPr>
          <w:pgSz w:w="11910" w:h="16840"/>
          <w:pgMar w:top="1380" w:right="720" w:bottom="1080" w:left="820" w:header="746" w:footer="891" w:gutter="0"/>
          <w:cols w:space="720" w:num="1"/>
        </w:sectPr>
      </w:pPr>
    </w:p>
    <w:p>
      <w:pPr>
        <w:pStyle w:val="5"/>
        <w:spacing w:before="160"/>
      </w:pPr>
      <w:r>
        <w:rPr>
          <w:spacing w:val="-20"/>
        </w:rPr>
        <w:t xml:space="preserve">得分 </w:t>
      </w:r>
      <w:r>
        <w:rPr>
          <w:spacing w:val="-10"/>
        </w:rPr>
        <w:t>B；</w:t>
      </w:r>
    </w:p>
    <w:p>
      <w:pPr>
        <w:pStyle w:val="5"/>
        <w:ind w:left="0"/>
      </w:pPr>
      <w:r>
        <w:br w:type="column"/>
      </w:r>
    </w:p>
    <w:p>
      <w:pPr>
        <w:pStyle w:val="5"/>
        <w:spacing w:before="10"/>
        <w:ind w:left="0"/>
      </w:pPr>
    </w:p>
    <w:p>
      <w:pPr>
        <w:pStyle w:val="10"/>
        <w:numPr>
          <w:ilvl w:val="0"/>
          <w:numId w:val="35"/>
        </w:numPr>
        <w:tabs>
          <w:tab w:val="left" w:pos="621"/>
        </w:tabs>
        <w:spacing w:before="1" w:after="0" w:line="240" w:lineRule="auto"/>
        <w:ind w:left="621" w:right="0" w:hanging="602"/>
        <w:jc w:val="left"/>
        <w:rPr>
          <w:sz w:val="24"/>
        </w:rPr>
      </w:pPr>
      <w:r>
        <w:rPr>
          <w:spacing w:val="-12"/>
          <w:sz w:val="24"/>
        </w:rPr>
        <w:t xml:space="preserve">按本章第 </w:t>
      </w:r>
      <w:r>
        <w:rPr>
          <w:sz w:val="24"/>
        </w:rPr>
        <w:t>2.2.2</w:t>
      </w:r>
      <w:r>
        <w:rPr>
          <w:spacing w:val="-69"/>
          <w:sz w:val="24"/>
        </w:rPr>
        <w:t xml:space="preserve"> 项</w:t>
      </w:r>
      <w:r>
        <w:rPr>
          <w:spacing w:val="-27"/>
          <w:sz w:val="24"/>
        </w:rPr>
        <w:t>（3）</w:t>
      </w:r>
      <w:r>
        <w:rPr>
          <w:spacing w:val="-3"/>
          <w:sz w:val="24"/>
        </w:rPr>
        <w:t xml:space="preserve">目规定的评审因素和分值对其他部分计算出得分 </w:t>
      </w:r>
      <w:r>
        <w:rPr>
          <w:sz w:val="24"/>
        </w:rPr>
        <w:t>C。</w:t>
      </w:r>
    </w:p>
    <w:p>
      <w:pPr>
        <w:pStyle w:val="10"/>
        <w:numPr>
          <w:ilvl w:val="2"/>
          <w:numId w:val="34"/>
        </w:numPr>
        <w:tabs>
          <w:tab w:val="left" w:pos="685"/>
        </w:tabs>
        <w:spacing w:before="160" w:after="0" w:line="240" w:lineRule="auto"/>
        <w:ind w:left="684" w:right="0" w:hanging="666"/>
        <w:jc w:val="left"/>
        <w:rPr>
          <w:sz w:val="24"/>
        </w:rPr>
      </w:pPr>
      <w:r>
        <w:rPr>
          <w:sz w:val="24"/>
        </w:rPr>
        <w:t>投标人的商务和技术得分分值计算保留小数点后两位，小数点后第三位</w:t>
      </w:r>
    </w:p>
    <w:p>
      <w:pPr>
        <w:spacing w:after="0" w:line="240" w:lineRule="auto"/>
        <w:jc w:val="left"/>
        <w:rPr>
          <w:sz w:val="24"/>
        </w:rPr>
        <w:sectPr>
          <w:type w:val="continuous"/>
          <w:pgSz w:w="11910" w:h="16840"/>
          <w:pgMar w:top="1600" w:right="720" w:bottom="880" w:left="820" w:header="720" w:footer="720" w:gutter="0"/>
          <w:cols w:equalWidth="0" w:num="2">
            <w:col w:w="1441" w:space="40"/>
            <w:col w:w="8889"/>
          </w:cols>
        </w:sectPr>
      </w:pPr>
    </w:p>
    <w:p>
      <w:pPr>
        <w:pStyle w:val="5"/>
        <w:spacing w:before="158"/>
      </w:pPr>
      <w:r>
        <w:t>“四舍五入”。</w:t>
      </w:r>
    </w:p>
    <w:p>
      <w:pPr>
        <w:pStyle w:val="10"/>
        <w:numPr>
          <w:ilvl w:val="2"/>
          <w:numId w:val="34"/>
        </w:numPr>
        <w:tabs>
          <w:tab w:val="left" w:pos="2161"/>
        </w:tabs>
        <w:spacing w:before="161" w:after="0" w:line="240" w:lineRule="auto"/>
        <w:ind w:left="2160" w:right="0" w:hanging="661"/>
        <w:jc w:val="left"/>
        <w:rPr>
          <w:sz w:val="24"/>
        </w:rPr>
      </w:pPr>
      <w:r>
        <w:rPr>
          <w:sz w:val="24"/>
        </w:rPr>
        <w:t>投标人的商务和技术得分=A+B+C。</w:t>
      </w:r>
    </w:p>
    <w:p>
      <w:pPr>
        <w:pStyle w:val="10"/>
        <w:numPr>
          <w:ilvl w:val="2"/>
          <w:numId w:val="34"/>
        </w:numPr>
        <w:tabs>
          <w:tab w:val="left" w:pos="2161"/>
        </w:tabs>
        <w:spacing w:before="160" w:after="0" w:line="362" w:lineRule="auto"/>
        <w:ind w:left="540" w:right="639" w:firstLine="960"/>
        <w:jc w:val="left"/>
        <w:rPr>
          <w:sz w:val="24"/>
        </w:rPr>
      </w:pPr>
      <w:r>
        <w:rPr>
          <w:spacing w:val="-6"/>
          <w:sz w:val="24"/>
        </w:rPr>
        <w:t>评标委员会按照投标人的商务和技术文件得分由高到低排序，排名在评标</w:t>
      </w:r>
      <w:r>
        <w:rPr>
          <w:sz w:val="24"/>
        </w:rPr>
        <w:t>办法前附表规定数量以内的投标人，其投标文件通过详细评审。</w:t>
      </w:r>
    </w:p>
    <w:p>
      <w:pPr>
        <w:pStyle w:val="10"/>
        <w:numPr>
          <w:ilvl w:val="2"/>
          <w:numId w:val="34"/>
        </w:numPr>
        <w:tabs>
          <w:tab w:val="left" w:pos="2166"/>
        </w:tabs>
        <w:spacing w:before="3" w:after="0" w:line="240" w:lineRule="auto"/>
        <w:ind w:left="2165" w:right="0" w:hanging="666"/>
        <w:jc w:val="left"/>
        <w:rPr>
          <w:sz w:val="24"/>
        </w:rPr>
      </w:pPr>
      <w:r>
        <w:rPr>
          <w:spacing w:val="-4"/>
          <w:sz w:val="24"/>
        </w:rPr>
        <w:t xml:space="preserve">通过投标文件初步评审的投标人不少于 </w:t>
      </w:r>
      <w:r>
        <w:rPr>
          <w:sz w:val="24"/>
        </w:rPr>
        <w:t>3</w:t>
      </w:r>
      <w:r>
        <w:rPr>
          <w:spacing w:val="-6"/>
          <w:sz w:val="24"/>
        </w:rPr>
        <w:t xml:space="preserve"> 个且未超过评标办法前附表第</w:t>
      </w:r>
    </w:p>
    <w:p>
      <w:pPr>
        <w:pStyle w:val="5"/>
        <w:spacing w:before="160" w:line="364" w:lineRule="auto"/>
        <w:ind w:right="639"/>
      </w:pPr>
      <w:r>
        <w:t>3.2.4</w:t>
      </w:r>
      <w:r>
        <w:rPr>
          <w:spacing w:val="-16"/>
        </w:rPr>
        <w:t xml:space="preserve"> 项规定数量的，均通过投标文件详细评审，不再对投标人的商务和技术文件进行评</w:t>
      </w:r>
      <w:r>
        <w:t>分。</w:t>
      </w:r>
    </w:p>
    <w:p>
      <w:pPr>
        <w:pStyle w:val="10"/>
        <w:numPr>
          <w:ilvl w:val="1"/>
          <w:numId w:val="36"/>
        </w:numPr>
        <w:tabs>
          <w:tab w:val="left" w:pos="1622"/>
        </w:tabs>
        <w:spacing w:before="0" w:after="0" w:line="306" w:lineRule="exact"/>
        <w:ind w:left="1621" w:right="0" w:hanging="602"/>
        <w:jc w:val="left"/>
        <w:rPr>
          <w:sz w:val="24"/>
        </w:rPr>
      </w:pPr>
      <w:r>
        <w:rPr>
          <w:sz w:val="24"/>
        </w:rPr>
        <w:t>详细评审</w:t>
      </w:r>
    </w:p>
    <w:p>
      <w:pPr>
        <w:pStyle w:val="10"/>
        <w:numPr>
          <w:ilvl w:val="2"/>
          <w:numId w:val="36"/>
        </w:numPr>
        <w:tabs>
          <w:tab w:val="left" w:pos="2161"/>
        </w:tabs>
        <w:spacing w:before="161" w:after="0" w:line="362" w:lineRule="auto"/>
        <w:ind w:left="540" w:right="639" w:firstLine="960"/>
        <w:jc w:val="both"/>
        <w:rPr>
          <w:sz w:val="24"/>
        </w:rPr>
      </w:pPr>
      <w:r>
        <w:rPr>
          <w:spacing w:val="-6"/>
          <w:sz w:val="24"/>
        </w:rPr>
        <w:t xml:space="preserve">评标委员会按本章第 </w:t>
      </w:r>
      <w:r>
        <w:rPr>
          <w:sz w:val="24"/>
        </w:rPr>
        <w:t>2.2</w:t>
      </w:r>
      <w:r>
        <w:rPr>
          <w:spacing w:val="-15"/>
          <w:sz w:val="24"/>
        </w:rPr>
        <w:t xml:space="preserve"> 款规定的量化因素和标准进行价格折算，计算出</w:t>
      </w:r>
      <w:r>
        <w:rPr>
          <w:sz w:val="24"/>
        </w:rPr>
        <w:t>评标价，并编制价格比较一览表。</w:t>
      </w:r>
    </w:p>
    <w:p>
      <w:pPr>
        <w:pStyle w:val="10"/>
        <w:numPr>
          <w:ilvl w:val="2"/>
          <w:numId w:val="36"/>
        </w:numPr>
        <w:tabs>
          <w:tab w:val="left" w:pos="2161"/>
        </w:tabs>
        <w:spacing w:before="5" w:after="0" w:line="364" w:lineRule="auto"/>
        <w:ind w:left="540" w:right="639" w:firstLine="960"/>
        <w:jc w:val="both"/>
        <w:rPr>
          <w:sz w:val="24"/>
        </w:rPr>
      </w:pPr>
      <w:r>
        <w:rPr>
          <w:spacing w:val="-6"/>
          <w:sz w:val="24"/>
        </w:rPr>
        <w:t>评标委员会发现投标人的报价明显低于其他投标报价，使得其投标报价可</w:t>
      </w:r>
      <w:r>
        <w:rPr>
          <w:sz w:val="24"/>
        </w:rPr>
        <w:t>能低于其个别成本的，应要求该投标人作出书面说明并提供相应的证明材料。投标人不能合理说明或不能提供相应证明材料的，由评标委员会认定该投标人以低于成本报价竞标，并否决其投标。</w:t>
      </w:r>
    </w:p>
    <w:p>
      <w:pPr>
        <w:pStyle w:val="10"/>
        <w:numPr>
          <w:ilvl w:val="1"/>
          <w:numId w:val="36"/>
        </w:numPr>
        <w:tabs>
          <w:tab w:val="left" w:pos="1622"/>
        </w:tabs>
        <w:spacing w:before="0" w:after="0" w:line="305" w:lineRule="exact"/>
        <w:ind w:left="1621" w:right="0" w:hanging="602"/>
        <w:jc w:val="left"/>
        <w:rPr>
          <w:sz w:val="24"/>
        </w:rPr>
      </w:pPr>
      <w:r>
        <w:rPr>
          <w:sz w:val="24"/>
        </w:rPr>
        <w:t>投标文件相关信息的核查</w:t>
      </w:r>
    </w:p>
    <w:p>
      <w:pPr>
        <w:pStyle w:val="10"/>
        <w:numPr>
          <w:ilvl w:val="2"/>
          <w:numId w:val="36"/>
        </w:numPr>
        <w:tabs>
          <w:tab w:val="left" w:pos="2161"/>
        </w:tabs>
        <w:spacing w:before="158" w:after="0" w:line="364" w:lineRule="auto"/>
        <w:ind w:left="540" w:right="639" w:firstLine="960"/>
        <w:jc w:val="both"/>
        <w:rPr>
          <w:sz w:val="24"/>
        </w:rPr>
      </w:pPr>
      <w:r>
        <w:rPr>
          <w:spacing w:val="-12"/>
          <w:sz w:val="24"/>
        </w:rPr>
        <w:t>在评标过程中，评标委员会应查询交通运输主管部门“公路建设市场信用</w:t>
      </w:r>
      <w:r>
        <w:rPr>
          <w:sz w:val="24"/>
        </w:rPr>
        <w:t>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p>
    <w:p>
      <w:pPr>
        <w:pStyle w:val="10"/>
        <w:numPr>
          <w:ilvl w:val="2"/>
          <w:numId w:val="36"/>
        </w:numPr>
        <w:tabs>
          <w:tab w:val="left" w:pos="2161"/>
        </w:tabs>
        <w:spacing w:before="0" w:after="0" w:line="364" w:lineRule="auto"/>
        <w:ind w:left="540" w:right="639" w:firstLine="960"/>
        <w:jc w:val="both"/>
        <w:rPr>
          <w:sz w:val="24"/>
        </w:rPr>
      </w:pPr>
      <w:r>
        <w:rPr>
          <w:spacing w:val="-6"/>
          <w:sz w:val="24"/>
        </w:rPr>
        <w:t>评标委员会应对在评标过程中发现的投标人与投标人之间、投标人与招标</w:t>
      </w:r>
      <w:r>
        <w:rPr>
          <w:sz w:val="24"/>
        </w:rPr>
        <w:t>人之间存在的串通投标的情形进行评审和认定。投标人存在串通投标、弄虚作假、行贿等违法行为的，评标委员会应否决其投标。</w:t>
      </w:r>
    </w:p>
    <w:p>
      <w:pPr>
        <w:pStyle w:val="10"/>
        <w:numPr>
          <w:ilvl w:val="0"/>
          <w:numId w:val="37"/>
        </w:numPr>
        <w:tabs>
          <w:tab w:val="left" w:pos="2102"/>
        </w:tabs>
        <w:spacing w:before="0" w:after="0" w:line="307" w:lineRule="exact"/>
        <w:ind w:left="2101" w:right="0" w:hanging="602"/>
        <w:jc w:val="left"/>
        <w:rPr>
          <w:sz w:val="24"/>
        </w:rPr>
      </w:pPr>
      <w:r>
        <w:rPr>
          <w:sz w:val="24"/>
        </w:rPr>
        <w:t>有下列情形之一的，属于投标人相互串通投标：</w:t>
      </w:r>
    </w:p>
    <w:p>
      <w:pPr>
        <w:spacing w:after="0" w:line="307" w:lineRule="exact"/>
        <w:jc w:val="left"/>
        <w:rPr>
          <w:sz w:val="24"/>
        </w:rPr>
        <w:sectPr>
          <w:type w:val="continuous"/>
          <w:pgSz w:w="11910" w:h="16840"/>
          <w:pgMar w:top="1600" w:right="720" w:bottom="880" w:left="820" w:header="720" w:footer="720" w:gutter="0"/>
          <w:cols w:space="720" w:num="1"/>
        </w:sectPr>
      </w:pPr>
    </w:p>
    <w:p>
      <w:pPr>
        <w:pStyle w:val="5"/>
        <w:spacing w:before="61" w:line="364" w:lineRule="auto"/>
        <w:ind w:left="1500" w:right="3090"/>
      </w:pPr>
      <w:r>
        <w:t>a.投标人之间协商投标报价等投标文件的实质性内容； b.投标人之间约定中标人；</w:t>
      </w:r>
    </w:p>
    <w:p>
      <w:pPr>
        <w:pStyle w:val="10"/>
        <w:numPr>
          <w:ilvl w:val="0"/>
          <w:numId w:val="38"/>
        </w:numPr>
        <w:tabs>
          <w:tab w:val="left" w:pos="1742"/>
        </w:tabs>
        <w:spacing w:before="0" w:after="0" w:line="306" w:lineRule="exact"/>
        <w:ind w:left="1741" w:right="0" w:hanging="242"/>
        <w:jc w:val="left"/>
        <w:rPr>
          <w:sz w:val="24"/>
        </w:rPr>
      </w:pPr>
      <w:r>
        <w:rPr>
          <w:sz w:val="24"/>
        </w:rPr>
        <w:t>投标人之间约定部分投标人放弃投标或中标；</w:t>
      </w:r>
    </w:p>
    <w:p>
      <w:pPr>
        <w:pStyle w:val="10"/>
        <w:numPr>
          <w:ilvl w:val="0"/>
          <w:numId w:val="38"/>
        </w:numPr>
        <w:tabs>
          <w:tab w:val="left" w:pos="1742"/>
        </w:tabs>
        <w:spacing w:before="160" w:after="0" w:line="362" w:lineRule="auto"/>
        <w:ind w:left="1500" w:right="704" w:firstLine="0"/>
        <w:jc w:val="left"/>
        <w:rPr>
          <w:sz w:val="24"/>
        </w:rPr>
      </w:pPr>
      <w:r>
        <w:rPr>
          <w:spacing w:val="-1"/>
          <w:sz w:val="24"/>
        </w:rPr>
        <w:t xml:space="preserve">属于同一集团、协会、商会等组织成员的投标人按照该组织要求协同投标； </w:t>
      </w:r>
      <w:r>
        <w:rPr>
          <w:sz w:val="24"/>
        </w:rPr>
        <w:t>e.投标人之间为谋取中标或排斥特定投标人而采取的其他联合行动。</w:t>
      </w:r>
    </w:p>
    <w:p>
      <w:pPr>
        <w:pStyle w:val="10"/>
        <w:numPr>
          <w:ilvl w:val="0"/>
          <w:numId w:val="37"/>
        </w:numPr>
        <w:tabs>
          <w:tab w:val="left" w:pos="2102"/>
        </w:tabs>
        <w:spacing w:before="5" w:after="0" w:line="362" w:lineRule="auto"/>
        <w:ind w:left="1500" w:right="3224" w:firstLine="0"/>
        <w:jc w:val="left"/>
        <w:rPr>
          <w:sz w:val="24"/>
        </w:rPr>
      </w:pPr>
      <w:r>
        <w:rPr>
          <w:spacing w:val="-1"/>
          <w:sz w:val="24"/>
        </w:rPr>
        <w:t xml:space="preserve">有下列情形之一的，视为投标人相互串通投标： </w:t>
      </w:r>
      <w:r>
        <w:rPr>
          <w:sz w:val="24"/>
        </w:rPr>
        <w:t>a.不同投标人的投标文件由同一单位或个人编制；</w:t>
      </w:r>
    </w:p>
    <w:p>
      <w:pPr>
        <w:pStyle w:val="10"/>
        <w:numPr>
          <w:ilvl w:val="0"/>
          <w:numId w:val="39"/>
        </w:numPr>
        <w:tabs>
          <w:tab w:val="left" w:pos="1742"/>
        </w:tabs>
        <w:spacing w:before="5" w:after="0" w:line="240" w:lineRule="auto"/>
        <w:ind w:left="1741" w:right="0" w:hanging="242"/>
        <w:jc w:val="left"/>
        <w:rPr>
          <w:sz w:val="24"/>
        </w:rPr>
      </w:pPr>
      <w:r>
        <w:rPr>
          <w:sz w:val="24"/>
        </w:rPr>
        <w:t>不同投标人委托同一单位或个人办理投标事宜；</w:t>
      </w:r>
    </w:p>
    <w:p>
      <w:pPr>
        <w:pStyle w:val="10"/>
        <w:numPr>
          <w:ilvl w:val="0"/>
          <w:numId w:val="39"/>
        </w:numPr>
        <w:tabs>
          <w:tab w:val="left" w:pos="1742"/>
        </w:tabs>
        <w:spacing w:before="160" w:after="0" w:line="240" w:lineRule="auto"/>
        <w:ind w:left="1741" w:right="0" w:hanging="242"/>
        <w:jc w:val="left"/>
        <w:rPr>
          <w:sz w:val="24"/>
        </w:rPr>
      </w:pPr>
      <w:r>
        <w:rPr>
          <w:sz w:val="24"/>
        </w:rPr>
        <w:t>不同投标人的投标文件载明的项目管理成员为同一人；</w:t>
      </w:r>
    </w:p>
    <w:p>
      <w:pPr>
        <w:pStyle w:val="10"/>
        <w:numPr>
          <w:ilvl w:val="0"/>
          <w:numId w:val="39"/>
        </w:numPr>
        <w:tabs>
          <w:tab w:val="left" w:pos="1742"/>
        </w:tabs>
        <w:spacing w:before="158" w:after="0" w:line="362" w:lineRule="auto"/>
        <w:ind w:left="1500" w:right="2384" w:firstLine="0"/>
        <w:jc w:val="left"/>
        <w:rPr>
          <w:sz w:val="24"/>
        </w:rPr>
      </w:pPr>
      <w:r>
        <w:rPr>
          <w:spacing w:val="-1"/>
          <w:sz w:val="24"/>
        </w:rPr>
        <w:t xml:space="preserve">不同投标人的投标文件异常一致或投标报价呈规律性差异； </w:t>
      </w:r>
      <w:r>
        <w:rPr>
          <w:sz w:val="24"/>
        </w:rPr>
        <w:t>e.不同投标人的投标文件相互混装；</w:t>
      </w:r>
    </w:p>
    <w:p>
      <w:pPr>
        <w:pStyle w:val="5"/>
        <w:spacing w:before="5"/>
        <w:ind w:left="1500"/>
      </w:pPr>
      <w:r>
        <w:t>f.不同投标人的投标保证金从同一单位或个人的账户转出。</w:t>
      </w:r>
    </w:p>
    <w:p>
      <w:pPr>
        <w:pStyle w:val="10"/>
        <w:numPr>
          <w:ilvl w:val="0"/>
          <w:numId w:val="37"/>
        </w:numPr>
        <w:tabs>
          <w:tab w:val="left" w:pos="2102"/>
        </w:tabs>
        <w:spacing w:before="161" w:after="0" w:line="240" w:lineRule="auto"/>
        <w:ind w:left="2101" w:right="0" w:hanging="602"/>
        <w:jc w:val="left"/>
        <w:rPr>
          <w:sz w:val="24"/>
        </w:rPr>
      </w:pPr>
      <w:r>
        <w:rPr>
          <w:sz w:val="24"/>
        </w:rPr>
        <w:t>有下列情形之一的，属于招标人与投标人串通投标：</w:t>
      </w:r>
    </w:p>
    <w:p>
      <w:pPr>
        <w:pStyle w:val="5"/>
        <w:spacing w:before="158" w:line="364" w:lineRule="auto"/>
        <w:ind w:left="1500" w:right="1904"/>
        <w:jc w:val="both"/>
      </w:pPr>
      <w:r>
        <w:t>a.招标人在开标前开启投标文件并将有关信息泄露给其他投标人； b.招标人直接或间接向投标人泄露标底、评标委员会成员等信息； c.招标人明示或暗示投标人压低或抬高投标报价；</w:t>
      </w:r>
    </w:p>
    <w:p>
      <w:pPr>
        <w:pStyle w:val="10"/>
        <w:numPr>
          <w:ilvl w:val="0"/>
          <w:numId w:val="40"/>
        </w:numPr>
        <w:tabs>
          <w:tab w:val="left" w:pos="1742"/>
        </w:tabs>
        <w:spacing w:before="0" w:after="0" w:line="307" w:lineRule="exact"/>
        <w:ind w:left="1741" w:right="0" w:hanging="242"/>
        <w:jc w:val="left"/>
        <w:rPr>
          <w:sz w:val="24"/>
        </w:rPr>
      </w:pPr>
      <w:r>
        <w:rPr>
          <w:sz w:val="24"/>
        </w:rPr>
        <w:t>招标人授意投标人撤换、修改投标文件；</w:t>
      </w:r>
    </w:p>
    <w:p>
      <w:pPr>
        <w:pStyle w:val="10"/>
        <w:numPr>
          <w:ilvl w:val="0"/>
          <w:numId w:val="40"/>
        </w:numPr>
        <w:tabs>
          <w:tab w:val="left" w:pos="1742"/>
        </w:tabs>
        <w:spacing w:before="158" w:after="0" w:line="240" w:lineRule="auto"/>
        <w:ind w:left="1741" w:right="0" w:hanging="242"/>
        <w:jc w:val="left"/>
        <w:rPr>
          <w:sz w:val="24"/>
        </w:rPr>
      </w:pPr>
      <w:r>
        <w:rPr>
          <w:sz w:val="24"/>
        </w:rPr>
        <w:t>招标人明示或暗示投标人为特定投标人中标提供方便；</w:t>
      </w:r>
    </w:p>
    <w:p>
      <w:pPr>
        <w:pStyle w:val="10"/>
        <w:numPr>
          <w:ilvl w:val="0"/>
          <w:numId w:val="40"/>
        </w:numPr>
        <w:tabs>
          <w:tab w:val="left" w:pos="1742"/>
        </w:tabs>
        <w:spacing w:before="161" w:after="0" w:line="240" w:lineRule="auto"/>
        <w:ind w:left="1741" w:right="0" w:hanging="242"/>
        <w:jc w:val="left"/>
        <w:rPr>
          <w:sz w:val="24"/>
        </w:rPr>
      </w:pPr>
      <w:r>
        <w:rPr>
          <w:sz w:val="24"/>
        </w:rPr>
        <w:t>招标人与投标人为谋求特定投标人中标而采取的其他串通行为。</w:t>
      </w:r>
    </w:p>
    <w:p>
      <w:pPr>
        <w:pStyle w:val="10"/>
        <w:numPr>
          <w:ilvl w:val="0"/>
          <w:numId w:val="37"/>
        </w:numPr>
        <w:tabs>
          <w:tab w:val="left" w:pos="2102"/>
        </w:tabs>
        <w:spacing w:before="158" w:after="0" w:line="240" w:lineRule="auto"/>
        <w:ind w:left="2101" w:right="0" w:hanging="602"/>
        <w:jc w:val="left"/>
        <w:rPr>
          <w:sz w:val="24"/>
        </w:rPr>
      </w:pPr>
      <w:r>
        <w:rPr>
          <w:sz w:val="24"/>
        </w:rPr>
        <w:t>投标人有下列情形之一的，属于弄虚作假的行为：</w:t>
      </w:r>
    </w:p>
    <w:p>
      <w:pPr>
        <w:pStyle w:val="5"/>
        <w:spacing w:before="160" w:line="362" w:lineRule="auto"/>
        <w:ind w:left="1500" w:right="2610"/>
      </w:pPr>
      <w:r>
        <w:t>a.使用通过受让或租借等方式获取的资格、资质证书投标； b.使用伪造、变造的许可证件；</w:t>
      </w:r>
    </w:p>
    <w:p>
      <w:pPr>
        <w:pStyle w:val="10"/>
        <w:numPr>
          <w:ilvl w:val="0"/>
          <w:numId w:val="41"/>
        </w:numPr>
        <w:tabs>
          <w:tab w:val="left" w:pos="1742"/>
        </w:tabs>
        <w:spacing w:before="5" w:after="0" w:line="240" w:lineRule="auto"/>
        <w:ind w:left="1741" w:right="0" w:hanging="242"/>
        <w:jc w:val="left"/>
        <w:rPr>
          <w:sz w:val="24"/>
        </w:rPr>
      </w:pPr>
      <w:r>
        <w:rPr>
          <w:sz w:val="24"/>
        </w:rPr>
        <w:t>提供虚假的财务状况或业绩；</w:t>
      </w:r>
    </w:p>
    <w:p>
      <w:pPr>
        <w:pStyle w:val="10"/>
        <w:numPr>
          <w:ilvl w:val="0"/>
          <w:numId w:val="41"/>
        </w:numPr>
        <w:tabs>
          <w:tab w:val="left" w:pos="1742"/>
        </w:tabs>
        <w:spacing w:before="161" w:after="0" w:line="362" w:lineRule="auto"/>
        <w:ind w:left="1500" w:right="2144" w:firstLine="0"/>
        <w:jc w:val="left"/>
        <w:rPr>
          <w:sz w:val="24"/>
        </w:rPr>
      </w:pPr>
      <w:r>
        <w:rPr>
          <w:spacing w:val="-1"/>
          <w:sz w:val="24"/>
        </w:rPr>
        <w:t xml:space="preserve">提供虚假的项目负责人或主要技术人员简历、劳动关系证明； </w:t>
      </w:r>
      <w:r>
        <w:rPr>
          <w:sz w:val="24"/>
        </w:rPr>
        <w:t>e.提供虚假的信用状况；</w:t>
      </w:r>
    </w:p>
    <w:p>
      <w:pPr>
        <w:pStyle w:val="5"/>
        <w:spacing w:before="2" w:line="364" w:lineRule="auto"/>
        <w:ind w:left="1020" w:right="6224" w:firstLine="480"/>
      </w:pPr>
      <w:r>
        <w:t>f.其他弄虚作假的行为。3.7．投标文件的澄清和说明</w:t>
      </w:r>
    </w:p>
    <w:p>
      <w:pPr>
        <w:pStyle w:val="10"/>
        <w:numPr>
          <w:ilvl w:val="2"/>
          <w:numId w:val="42"/>
        </w:numPr>
        <w:tabs>
          <w:tab w:val="left" w:pos="2161"/>
        </w:tabs>
        <w:spacing w:before="0" w:after="0" w:line="364" w:lineRule="auto"/>
        <w:ind w:left="540" w:right="639" w:firstLine="960"/>
        <w:jc w:val="both"/>
        <w:rPr>
          <w:sz w:val="24"/>
        </w:rPr>
      </w:pPr>
      <w:r>
        <w:rPr>
          <w:spacing w:val="-12"/>
          <w:sz w:val="24"/>
        </w:rPr>
        <w:t>在评标过程中，评标委员会可以书面形式要求投标人对投标文件中含义不</w:t>
      </w:r>
      <w:r>
        <w:rPr>
          <w:sz w:val="24"/>
        </w:rPr>
        <w:t>明确的内容、明显文字或计算错误进行书面澄清或说明。评标委员会不接受投标人主动提出的澄清、说明。投标人不按评标委员会要求澄清或说明的，评标委员会应否决其投</w:t>
      </w:r>
    </w:p>
    <w:p>
      <w:pPr>
        <w:spacing w:after="0" w:line="364" w:lineRule="auto"/>
        <w:jc w:val="both"/>
        <w:rPr>
          <w:sz w:val="24"/>
        </w:rPr>
        <w:sectPr>
          <w:pgSz w:w="11910" w:h="16840"/>
          <w:pgMar w:top="1380" w:right="720" w:bottom="1080" w:left="820" w:header="746" w:footer="891" w:gutter="0"/>
          <w:cols w:space="720" w:num="1"/>
        </w:sectPr>
      </w:pPr>
    </w:p>
    <w:p>
      <w:pPr>
        <w:pStyle w:val="5"/>
        <w:spacing w:before="61"/>
      </w:pPr>
      <w:r>
        <w:t>标。</w:t>
      </w:r>
    </w:p>
    <w:p>
      <w:pPr>
        <w:pStyle w:val="10"/>
        <w:numPr>
          <w:ilvl w:val="2"/>
          <w:numId w:val="42"/>
        </w:numPr>
        <w:tabs>
          <w:tab w:val="left" w:pos="2161"/>
        </w:tabs>
        <w:spacing w:before="160" w:after="0" w:line="240" w:lineRule="auto"/>
        <w:ind w:left="2160" w:right="0" w:hanging="661"/>
        <w:jc w:val="left"/>
        <w:rPr>
          <w:sz w:val="24"/>
        </w:rPr>
      </w:pPr>
      <w:r>
        <w:rPr>
          <w:spacing w:val="-4"/>
          <w:sz w:val="24"/>
        </w:rPr>
        <w:t>澄清和说明不得超出投标文件的范围或改变投标文件的实质性内容</w:t>
      </w:r>
      <w:r>
        <w:rPr>
          <w:sz w:val="24"/>
        </w:rPr>
        <w:t>（算术</w:t>
      </w:r>
    </w:p>
    <w:p>
      <w:pPr>
        <w:pStyle w:val="5"/>
        <w:spacing w:before="158"/>
      </w:pPr>
      <w:r>
        <w:t>性错误的修正除外）。投标人的书面澄清、说明属于投标文件的组成部分。</w:t>
      </w:r>
    </w:p>
    <w:p>
      <w:pPr>
        <w:pStyle w:val="10"/>
        <w:numPr>
          <w:ilvl w:val="2"/>
          <w:numId w:val="42"/>
        </w:numPr>
        <w:tabs>
          <w:tab w:val="left" w:pos="2161"/>
        </w:tabs>
        <w:spacing w:before="161" w:after="0" w:line="362" w:lineRule="auto"/>
        <w:ind w:left="540" w:right="519" w:firstLine="960"/>
        <w:jc w:val="left"/>
        <w:rPr>
          <w:sz w:val="24"/>
        </w:rPr>
      </w:pPr>
      <w:r>
        <w:rPr>
          <w:spacing w:val="-12"/>
          <w:sz w:val="24"/>
        </w:rPr>
        <w:t>评标委员会不得暗示或诱导投标人作出澄清、说明，对投标人提交的澄清、</w:t>
      </w:r>
      <w:r>
        <w:rPr>
          <w:sz w:val="24"/>
        </w:rPr>
        <w:t>说明有疑问的，可以要求投标人进一步澄清或说明，直至满足评标委员会的要求。</w:t>
      </w:r>
    </w:p>
    <w:p>
      <w:pPr>
        <w:pStyle w:val="10"/>
        <w:numPr>
          <w:ilvl w:val="2"/>
          <w:numId w:val="42"/>
        </w:numPr>
        <w:tabs>
          <w:tab w:val="left" w:pos="2161"/>
        </w:tabs>
        <w:spacing w:before="5" w:after="0" w:line="362" w:lineRule="auto"/>
        <w:ind w:left="540" w:right="639" w:firstLine="960"/>
        <w:jc w:val="left"/>
        <w:rPr>
          <w:sz w:val="24"/>
        </w:rPr>
      </w:pPr>
      <w:r>
        <w:rPr>
          <w:spacing w:val="-6"/>
          <w:sz w:val="24"/>
        </w:rPr>
        <w:t>凡超出招标文件规定的或给发包人带来未曾要求的利益的变化、偏差或其</w:t>
      </w:r>
      <w:r>
        <w:rPr>
          <w:sz w:val="24"/>
        </w:rPr>
        <w:t>他因素在评标时不予考虑。</w:t>
      </w:r>
    </w:p>
    <w:p>
      <w:pPr>
        <w:pStyle w:val="10"/>
        <w:numPr>
          <w:ilvl w:val="1"/>
          <w:numId w:val="43"/>
        </w:numPr>
        <w:tabs>
          <w:tab w:val="left" w:pos="1622"/>
        </w:tabs>
        <w:spacing w:before="5" w:after="0" w:line="240" w:lineRule="auto"/>
        <w:ind w:left="1621" w:right="0" w:hanging="602"/>
        <w:jc w:val="left"/>
        <w:rPr>
          <w:sz w:val="24"/>
        </w:rPr>
      </w:pPr>
      <w:r>
        <w:rPr>
          <w:sz w:val="24"/>
        </w:rPr>
        <w:t>不得否决投标的情形</w:t>
      </w:r>
    </w:p>
    <w:p>
      <w:pPr>
        <w:pStyle w:val="5"/>
        <w:spacing w:before="160"/>
        <w:ind w:left="1500"/>
      </w:pPr>
      <w:r>
        <w:t>投标文件存在第二章“投标人须知”第 1.12.3 项所列情形的，均视为细微偏差，</w:t>
      </w:r>
    </w:p>
    <w:p>
      <w:pPr>
        <w:pStyle w:val="5"/>
        <w:spacing w:before="158" w:line="362" w:lineRule="auto"/>
        <w:ind w:right="639"/>
      </w:pPr>
      <w:r>
        <w:rPr>
          <w:spacing w:val="-6"/>
        </w:rPr>
        <w:t xml:space="preserve">评标委员会不得否决投标人的投标，应按照第二章“投标人须知”第 </w:t>
      </w:r>
      <w:r>
        <w:t>1.12.4</w:t>
      </w:r>
      <w:r>
        <w:rPr>
          <w:spacing w:val="-13"/>
        </w:rPr>
        <w:t xml:space="preserve"> 项规定的原</w:t>
      </w:r>
      <w:r>
        <w:t>则处理。</w:t>
      </w:r>
    </w:p>
    <w:p>
      <w:pPr>
        <w:pStyle w:val="10"/>
        <w:numPr>
          <w:ilvl w:val="1"/>
          <w:numId w:val="43"/>
        </w:numPr>
        <w:tabs>
          <w:tab w:val="left" w:pos="1622"/>
        </w:tabs>
        <w:spacing w:before="5" w:after="0" w:line="240" w:lineRule="auto"/>
        <w:ind w:left="1621" w:right="0" w:hanging="602"/>
        <w:jc w:val="left"/>
        <w:rPr>
          <w:sz w:val="24"/>
        </w:rPr>
      </w:pPr>
      <w:r>
        <w:rPr>
          <w:sz w:val="24"/>
        </w:rPr>
        <w:t>评标结果</w:t>
      </w:r>
    </w:p>
    <w:p>
      <w:pPr>
        <w:pStyle w:val="10"/>
        <w:numPr>
          <w:ilvl w:val="2"/>
          <w:numId w:val="43"/>
        </w:numPr>
        <w:tabs>
          <w:tab w:val="left" w:pos="2161"/>
        </w:tabs>
        <w:spacing w:before="161" w:after="0" w:line="362" w:lineRule="auto"/>
        <w:ind w:left="540" w:right="639" w:firstLine="960"/>
        <w:jc w:val="left"/>
        <w:rPr>
          <w:sz w:val="24"/>
        </w:rPr>
      </w:pPr>
      <w:r>
        <w:rPr>
          <w:spacing w:val="-12"/>
          <w:sz w:val="24"/>
        </w:rPr>
        <w:t>除第二章“投标人须知”前附表授权直接确定中标人外，评标委员会按照</w:t>
      </w:r>
      <w:r>
        <w:rPr>
          <w:sz w:val="24"/>
        </w:rPr>
        <w:t>评标价由低到高的顺序推荐中标候选人，并标明排序。</w:t>
      </w:r>
    </w:p>
    <w:p>
      <w:pPr>
        <w:pStyle w:val="10"/>
        <w:numPr>
          <w:ilvl w:val="2"/>
          <w:numId w:val="43"/>
        </w:numPr>
        <w:tabs>
          <w:tab w:val="left" w:pos="2161"/>
        </w:tabs>
        <w:spacing w:before="5" w:after="0" w:line="240" w:lineRule="auto"/>
        <w:ind w:left="2160" w:right="0" w:hanging="661"/>
        <w:jc w:val="left"/>
        <w:rPr>
          <w:sz w:val="24"/>
        </w:rPr>
      </w:pPr>
      <w:r>
        <w:rPr>
          <w:sz w:val="24"/>
        </w:rPr>
        <w:t>评标委员会完成评标后，应向招标人提交书面评标报告。</w:t>
      </w:r>
    </w:p>
    <w:p>
      <w:pPr>
        <w:spacing w:after="0" w:line="240" w:lineRule="auto"/>
        <w:jc w:val="left"/>
        <w:rPr>
          <w:sz w:val="24"/>
        </w:rP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spacing w:before="12"/>
        <w:ind w:left="0"/>
        <w:rPr>
          <w:sz w:val="22"/>
        </w:rPr>
      </w:pPr>
    </w:p>
    <w:p>
      <w:pPr>
        <w:pStyle w:val="2"/>
        <w:tabs>
          <w:tab w:val="left" w:pos="1125"/>
        </w:tabs>
        <w:ind w:left="0" w:right="98"/>
      </w:pPr>
      <w:bookmarkStart w:id="109" w:name="第四章  合同条款及格式"/>
      <w:bookmarkEnd w:id="109"/>
      <w:bookmarkStart w:id="110" w:name="_bookmark4"/>
      <w:bookmarkEnd w:id="110"/>
      <w:r>
        <w:t>第四章</w:t>
      </w:r>
      <w:r>
        <w:tab/>
      </w:r>
      <w:r>
        <w:t>合同条款及格式</w:t>
      </w:r>
    </w:p>
    <w:p>
      <w:pPr>
        <w:pStyle w:val="5"/>
        <w:spacing w:before="4"/>
        <w:ind w:left="0"/>
        <w:rPr>
          <w:b/>
          <w:sz w:val="40"/>
        </w:rPr>
      </w:pPr>
    </w:p>
    <w:p>
      <w:pPr>
        <w:pStyle w:val="4"/>
        <w:tabs>
          <w:tab w:val="left" w:pos="962"/>
        </w:tabs>
        <w:ind w:left="0" w:right="98"/>
        <w:jc w:val="center"/>
      </w:pPr>
      <w:bookmarkStart w:id="111" w:name="第一节  通用合同条款"/>
      <w:bookmarkEnd w:id="111"/>
      <w:r>
        <w:t>第一节</w:t>
      </w:r>
      <w:r>
        <w:tab/>
      </w:r>
      <w:r>
        <w:t>通用合同条款</w:t>
      </w:r>
    </w:p>
    <w:p>
      <w:pPr>
        <w:pStyle w:val="5"/>
        <w:spacing w:before="10"/>
        <w:ind w:left="0"/>
        <w:rPr>
          <w:b/>
          <w:sz w:val="32"/>
        </w:rPr>
      </w:pPr>
    </w:p>
    <w:p>
      <w:pPr>
        <w:pStyle w:val="5"/>
        <w:ind w:left="258" w:right="360"/>
        <w:jc w:val="center"/>
      </w:pPr>
      <w:r>
        <w:t>通用合同条款采用《标准施工招标文件》的“通用合同条款”。</w:t>
      </w:r>
    </w:p>
    <w:p>
      <w:pPr>
        <w:spacing w:after="0"/>
        <w:jc w:val="cente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spacing w:before="4"/>
        <w:ind w:left="0"/>
        <w:rPr>
          <w:sz w:val="16"/>
        </w:rPr>
      </w:pPr>
    </w:p>
    <w:p>
      <w:pPr>
        <w:pStyle w:val="4"/>
        <w:tabs>
          <w:tab w:val="left" w:pos="962"/>
        </w:tabs>
        <w:spacing w:before="66"/>
        <w:ind w:left="0" w:right="98"/>
        <w:jc w:val="center"/>
      </w:pPr>
      <w:bookmarkStart w:id="112" w:name="第二节  专用合同条款"/>
      <w:bookmarkEnd w:id="112"/>
      <w:r>
        <w:t>第二节</w:t>
      </w:r>
      <w:r>
        <w:tab/>
      </w:r>
      <w:r>
        <w:t>专用合同条款</w:t>
      </w:r>
    </w:p>
    <w:p>
      <w:pPr>
        <w:pStyle w:val="5"/>
        <w:spacing w:before="8"/>
        <w:ind w:left="0"/>
        <w:rPr>
          <w:b/>
          <w:sz w:val="27"/>
        </w:rPr>
      </w:pPr>
    </w:p>
    <w:p>
      <w:pPr>
        <w:pStyle w:val="5"/>
        <w:spacing w:before="66"/>
        <w:ind w:left="737" w:right="360"/>
        <w:jc w:val="center"/>
      </w:pPr>
      <w:r>
        <w:t>A.公路工程专用合同条款</w:t>
      </w:r>
    </w:p>
    <w:p>
      <w:pPr>
        <w:pStyle w:val="10"/>
        <w:numPr>
          <w:ilvl w:val="0"/>
          <w:numId w:val="44"/>
        </w:numPr>
        <w:tabs>
          <w:tab w:val="left" w:pos="782"/>
        </w:tabs>
        <w:spacing w:before="158" w:after="0" w:line="240" w:lineRule="auto"/>
        <w:ind w:left="781" w:right="0" w:hanging="242"/>
        <w:jc w:val="left"/>
        <w:rPr>
          <w:sz w:val="24"/>
        </w:rPr>
      </w:pPr>
      <w:r>
        <w:rPr>
          <w:sz w:val="24"/>
        </w:rPr>
        <w:t>一般约定</w:t>
      </w:r>
    </w:p>
    <w:p>
      <w:pPr>
        <w:pStyle w:val="10"/>
        <w:numPr>
          <w:ilvl w:val="1"/>
          <w:numId w:val="44"/>
        </w:numPr>
        <w:tabs>
          <w:tab w:val="left" w:pos="961"/>
        </w:tabs>
        <w:spacing w:before="161" w:after="0" w:line="240" w:lineRule="auto"/>
        <w:ind w:left="960" w:right="0" w:hanging="421"/>
        <w:jc w:val="left"/>
        <w:rPr>
          <w:sz w:val="24"/>
        </w:rPr>
      </w:pPr>
      <w:r>
        <w:rPr>
          <w:sz w:val="24"/>
        </w:rPr>
        <w:t>词语定义</w:t>
      </w:r>
    </w:p>
    <w:p>
      <w:pPr>
        <w:pStyle w:val="10"/>
        <w:numPr>
          <w:ilvl w:val="2"/>
          <w:numId w:val="44"/>
        </w:numPr>
        <w:tabs>
          <w:tab w:val="left" w:pos="1201"/>
        </w:tabs>
        <w:spacing w:before="160" w:after="0" w:line="240" w:lineRule="auto"/>
        <w:ind w:left="1200" w:right="0" w:hanging="661"/>
        <w:jc w:val="left"/>
        <w:rPr>
          <w:sz w:val="24"/>
        </w:rPr>
      </w:pPr>
      <w:r>
        <w:rPr>
          <w:sz w:val="24"/>
        </w:rPr>
        <w:t>合同</w:t>
      </w:r>
    </w:p>
    <w:p>
      <w:pPr>
        <w:pStyle w:val="5"/>
        <w:spacing w:before="158"/>
      </w:pPr>
      <w:r>
        <w:t>第 1.1.1.6 目细化为：</w:t>
      </w:r>
    </w:p>
    <w:p>
      <w:pPr>
        <w:pStyle w:val="5"/>
        <w:spacing w:before="161" w:line="362" w:lineRule="auto"/>
        <w:ind w:right="639"/>
      </w:pPr>
      <w:r>
        <w:t>技术规范：为本合同所约定的技术标准和要求，是合同文件的组成部分。通用合同条款中“技术标准和要求”一词具有相同含义。</w:t>
      </w:r>
    </w:p>
    <w:p>
      <w:pPr>
        <w:pStyle w:val="5"/>
        <w:spacing w:before="2"/>
      </w:pPr>
      <w:r>
        <w:t>第 1.1.1.8 目细化为：</w:t>
      </w:r>
    </w:p>
    <w:p>
      <w:pPr>
        <w:pStyle w:val="5"/>
        <w:spacing w:before="161" w:line="364" w:lineRule="auto"/>
        <w:ind w:right="470"/>
      </w:pPr>
      <w: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 5.1～表 5.5）。本项补充第 1.1.1.10 目：</w:t>
      </w:r>
    </w:p>
    <w:p>
      <w:pPr>
        <w:pStyle w:val="5"/>
        <w:spacing w:line="364" w:lineRule="auto"/>
        <w:ind w:right="639"/>
      </w:pPr>
      <w:r>
        <w:t>1.1.1.10</w:t>
      </w:r>
      <w:r>
        <w:rPr>
          <w:spacing w:val="-7"/>
        </w:rPr>
        <w:t xml:space="preserve"> 补遗书：指发出招标文件之后由招标人向已取得招标文件的投标人发出的、编</w:t>
      </w:r>
      <w:r>
        <w:t>号的对招标文件所作的澄清、修改书。</w:t>
      </w:r>
    </w:p>
    <w:p>
      <w:pPr>
        <w:pStyle w:val="10"/>
        <w:numPr>
          <w:ilvl w:val="2"/>
          <w:numId w:val="44"/>
        </w:numPr>
        <w:tabs>
          <w:tab w:val="left" w:pos="1201"/>
        </w:tabs>
        <w:spacing w:before="0" w:after="0" w:line="240" w:lineRule="auto"/>
        <w:ind w:left="1200" w:right="0" w:hanging="661"/>
        <w:jc w:val="left"/>
        <w:rPr>
          <w:sz w:val="24"/>
        </w:rPr>
      </w:pPr>
      <w:r>
        <w:rPr>
          <w:sz w:val="24"/>
        </w:rPr>
        <w:t>合同当事人和人员本项补充第 1.1.2.8 目：</w:t>
      </w:r>
    </w:p>
    <w:p>
      <w:pPr>
        <w:pStyle w:val="5"/>
        <w:spacing w:before="157" w:line="362" w:lineRule="auto"/>
        <w:ind w:right="642"/>
      </w:pPr>
      <w:r>
        <w:t>1.1.2.8 承包人项目总工：指由承包人书面委派常驻现场负责管理本合同工程的总工程师或技术总负责人。</w:t>
      </w:r>
    </w:p>
    <w:p>
      <w:pPr>
        <w:pStyle w:val="10"/>
        <w:numPr>
          <w:ilvl w:val="2"/>
          <w:numId w:val="44"/>
        </w:numPr>
        <w:tabs>
          <w:tab w:val="left" w:pos="1201"/>
        </w:tabs>
        <w:spacing w:before="5" w:after="0" w:line="240" w:lineRule="auto"/>
        <w:ind w:left="1200" w:right="0" w:hanging="661"/>
        <w:jc w:val="left"/>
        <w:rPr>
          <w:sz w:val="24"/>
        </w:rPr>
      </w:pPr>
      <w:r>
        <w:rPr>
          <w:sz w:val="24"/>
        </w:rPr>
        <w:t>工程和设备</w:t>
      </w:r>
    </w:p>
    <w:p>
      <w:pPr>
        <w:pStyle w:val="5"/>
        <w:spacing w:before="158"/>
      </w:pPr>
      <w:r>
        <w:t>第 1.1.3.4 目细化为：</w:t>
      </w:r>
    </w:p>
    <w:p>
      <w:pPr>
        <w:pStyle w:val="5"/>
        <w:spacing w:before="160"/>
      </w:pPr>
      <w:r>
        <w:t>单位工程：指在建设项目中，根据签订的合同，具有独立施工条件的工程。</w:t>
      </w:r>
    </w:p>
    <w:p>
      <w:pPr>
        <w:pStyle w:val="5"/>
        <w:spacing w:before="161"/>
      </w:pPr>
      <w:r>
        <w:t>1.1.3.10 目细化为：</w:t>
      </w:r>
    </w:p>
    <w:p>
      <w:pPr>
        <w:pStyle w:val="5"/>
        <w:spacing w:before="158" w:line="364" w:lineRule="auto"/>
        <w:ind w:right="639"/>
      </w:pPr>
      <w:r>
        <w:t>永久占地：指为实施本合同工程而需要的一切永久占用的土地，包括公路两侧路权范围内的用地。</w:t>
      </w:r>
    </w:p>
    <w:p>
      <w:pPr>
        <w:pStyle w:val="5"/>
        <w:spacing w:line="306" w:lineRule="exact"/>
        <w:jc w:val="both"/>
      </w:pPr>
      <w:r>
        <w:t>第 1.1.3.11 目细化为：</w:t>
      </w:r>
    </w:p>
    <w:p>
      <w:pPr>
        <w:pStyle w:val="5"/>
        <w:spacing w:before="160" w:line="364" w:lineRule="auto"/>
        <w:ind w:right="639"/>
        <w:jc w:val="both"/>
      </w:pPr>
      <w:r>
        <w:t>临时占地：指为实施本合同工程而需要的一切临时占用的土地，包括施工所用的临时支线、便道、便桥和现场的临时出入通道，以及生产（办公）、生活等临时设施用地等。本项补充第 1.1.3.12 目、第 1.1.3.13 目：</w:t>
      </w:r>
    </w:p>
    <w:p>
      <w:pPr>
        <w:spacing w:after="0" w:line="364" w:lineRule="auto"/>
        <w:jc w:val="both"/>
        <w:sectPr>
          <w:pgSz w:w="11910" w:h="16840"/>
          <w:pgMar w:top="1380" w:right="720" w:bottom="1080" w:left="820" w:header="746" w:footer="891" w:gutter="0"/>
          <w:cols w:space="720" w:num="1"/>
        </w:sectPr>
      </w:pPr>
    </w:p>
    <w:p>
      <w:pPr>
        <w:pStyle w:val="10"/>
        <w:numPr>
          <w:ilvl w:val="3"/>
          <w:numId w:val="45"/>
        </w:numPr>
        <w:tabs>
          <w:tab w:val="left" w:pos="1561"/>
        </w:tabs>
        <w:spacing w:before="61" w:after="0" w:line="364" w:lineRule="auto"/>
        <w:ind w:left="540" w:right="639" w:firstLine="0"/>
        <w:jc w:val="left"/>
        <w:rPr>
          <w:sz w:val="24"/>
        </w:rPr>
      </w:pPr>
      <w:r>
        <w:rPr>
          <w:spacing w:val="-1"/>
          <w:sz w:val="24"/>
        </w:rPr>
        <w:t>分部工程：指在单位工程中，按结构部位、路段长度及施工特点或施工任务划</w:t>
      </w:r>
      <w:r>
        <w:rPr>
          <w:sz w:val="24"/>
        </w:rPr>
        <w:t>分的若干个工程。</w:t>
      </w:r>
    </w:p>
    <w:p>
      <w:pPr>
        <w:pStyle w:val="10"/>
        <w:numPr>
          <w:ilvl w:val="3"/>
          <w:numId w:val="45"/>
        </w:numPr>
        <w:tabs>
          <w:tab w:val="left" w:pos="1561"/>
        </w:tabs>
        <w:spacing w:before="0" w:after="0" w:line="364" w:lineRule="auto"/>
        <w:ind w:left="540" w:right="639" w:firstLine="0"/>
        <w:jc w:val="left"/>
        <w:rPr>
          <w:sz w:val="24"/>
        </w:rPr>
      </w:pPr>
      <w:r>
        <w:rPr>
          <w:spacing w:val="-1"/>
          <w:sz w:val="24"/>
        </w:rPr>
        <w:t>分项工程：指在分部工程中，按不同的施工方法、材料、工序及路段长度等划</w:t>
      </w:r>
      <w:r>
        <w:rPr>
          <w:sz w:val="24"/>
        </w:rPr>
        <w:t>分的若干个过程。</w:t>
      </w:r>
    </w:p>
    <w:p>
      <w:pPr>
        <w:pStyle w:val="5"/>
        <w:spacing w:line="306" w:lineRule="exact"/>
      </w:pPr>
      <w:r>
        <w:t>1.1.6 其他</w:t>
      </w:r>
    </w:p>
    <w:p>
      <w:pPr>
        <w:pStyle w:val="5"/>
        <w:spacing w:before="159"/>
        <w:jc w:val="both"/>
      </w:pPr>
      <w:r>
        <w:t>本项补充第 1.1.6.2 目～1.1.6.8 目：</w:t>
      </w:r>
    </w:p>
    <w:p>
      <w:pPr>
        <w:pStyle w:val="10"/>
        <w:numPr>
          <w:ilvl w:val="3"/>
          <w:numId w:val="46"/>
        </w:numPr>
        <w:tabs>
          <w:tab w:val="left" w:pos="1441"/>
        </w:tabs>
        <w:spacing w:before="158" w:after="0" w:line="364" w:lineRule="auto"/>
        <w:ind w:left="540" w:right="639" w:firstLine="0"/>
        <w:jc w:val="both"/>
        <w:rPr>
          <w:sz w:val="24"/>
        </w:rPr>
      </w:pPr>
      <w:r>
        <w:rPr>
          <w:spacing w:val="-8"/>
          <w:sz w:val="24"/>
        </w:rPr>
        <w:t>竣工验收：指《公路工程竣</w:t>
      </w:r>
      <w:r>
        <w:rPr>
          <w:sz w:val="24"/>
        </w:rPr>
        <w:t>（交</w:t>
      </w:r>
      <w:r>
        <w:rPr>
          <w:spacing w:val="-20"/>
          <w:sz w:val="24"/>
        </w:rPr>
        <w:t>）</w:t>
      </w:r>
      <w:r>
        <w:rPr>
          <w:spacing w:val="-7"/>
          <w:sz w:val="24"/>
        </w:rPr>
        <w:t>工验收办法》中的竣工验收。通用合同条款中</w:t>
      </w:r>
      <w:r>
        <w:rPr>
          <w:sz w:val="24"/>
        </w:rPr>
        <w:t>“国家验收”一词具有相同含义。</w:t>
      </w:r>
    </w:p>
    <w:p>
      <w:pPr>
        <w:pStyle w:val="10"/>
        <w:numPr>
          <w:ilvl w:val="3"/>
          <w:numId w:val="46"/>
        </w:numPr>
        <w:tabs>
          <w:tab w:val="left" w:pos="1441"/>
        </w:tabs>
        <w:spacing w:before="1" w:after="0" w:line="362" w:lineRule="auto"/>
        <w:ind w:left="540" w:right="639" w:firstLine="0"/>
        <w:jc w:val="both"/>
        <w:rPr>
          <w:sz w:val="24"/>
        </w:rPr>
      </w:pPr>
      <w:r>
        <w:rPr>
          <w:spacing w:val="-7"/>
          <w:sz w:val="24"/>
        </w:rPr>
        <w:t>交工：指《公路工程竣</w:t>
      </w:r>
      <w:r>
        <w:rPr>
          <w:spacing w:val="-3"/>
          <w:sz w:val="24"/>
        </w:rPr>
        <w:t>（</w:t>
      </w:r>
      <w:r>
        <w:rPr>
          <w:sz w:val="24"/>
        </w:rPr>
        <w:t>交</w:t>
      </w:r>
      <w:r>
        <w:rPr>
          <w:spacing w:val="-15"/>
          <w:sz w:val="24"/>
        </w:rPr>
        <w:t>）</w:t>
      </w:r>
      <w:r>
        <w:rPr>
          <w:spacing w:val="-7"/>
          <w:sz w:val="24"/>
        </w:rPr>
        <w:t>工验收办法》中的交工验收。通用合同条款中“竣</w:t>
      </w:r>
      <w:r>
        <w:rPr>
          <w:sz w:val="24"/>
        </w:rPr>
        <w:t>工”一词具有相同含义。</w:t>
      </w:r>
    </w:p>
    <w:p>
      <w:pPr>
        <w:pStyle w:val="10"/>
        <w:numPr>
          <w:ilvl w:val="3"/>
          <w:numId w:val="46"/>
        </w:numPr>
        <w:tabs>
          <w:tab w:val="left" w:pos="1441"/>
        </w:tabs>
        <w:spacing w:before="3" w:after="0" w:line="364" w:lineRule="auto"/>
        <w:ind w:left="540" w:right="639" w:firstLine="0"/>
        <w:jc w:val="both"/>
        <w:rPr>
          <w:sz w:val="24"/>
        </w:rPr>
      </w:pPr>
      <w:r>
        <w:rPr>
          <w:spacing w:val="-7"/>
          <w:sz w:val="24"/>
        </w:rPr>
        <w:t>交工验收证书：指《公路工程竣</w:t>
      </w:r>
      <w:r>
        <w:rPr>
          <w:sz w:val="24"/>
        </w:rPr>
        <w:t>（交</w:t>
      </w:r>
      <w:r>
        <w:rPr>
          <w:spacing w:val="-20"/>
          <w:sz w:val="24"/>
        </w:rPr>
        <w:t>）</w:t>
      </w:r>
      <w:r>
        <w:rPr>
          <w:spacing w:val="-7"/>
          <w:sz w:val="24"/>
        </w:rPr>
        <w:t>工验收办法》中的交工验收证书。通用合</w:t>
      </w:r>
      <w:r>
        <w:rPr>
          <w:sz w:val="24"/>
        </w:rPr>
        <w:t>同条款中“工程接收证书”一词具有相同含义。</w:t>
      </w:r>
    </w:p>
    <w:p>
      <w:pPr>
        <w:pStyle w:val="10"/>
        <w:numPr>
          <w:ilvl w:val="3"/>
          <w:numId w:val="46"/>
        </w:numPr>
        <w:tabs>
          <w:tab w:val="left" w:pos="1441"/>
        </w:tabs>
        <w:spacing w:before="1" w:after="0" w:line="362" w:lineRule="auto"/>
        <w:ind w:left="540" w:right="639" w:firstLine="0"/>
        <w:jc w:val="both"/>
        <w:rPr>
          <w:sz w:val="24"/>
        </w:rPr>
      </w:pPr>
      <w:r>
        <w:rPr>
          <w:spacing w:val="-11"/>
          <w:sz w:val="24"/>
        </w:rPr>
        <w:t>转包：指承包人违反法律和不履行合同规定的责任和义务，将中标工程全部委托</w:t>
      </w:r>
      <w:r>
        <w:rPr>
          <w:sz w:val="24"/>
        </w:rPr>
        <w:t>或以专业分包的名义将中标工程肢解后全部委托给其他施工企业施工的行为。</w:t>
      </w:r>
    </w:p>
    <w:p>
      <w:pPr>
        <w:pStyle w:val="10"/>
        <w:numPr>
          <w:ilvl w:val="3"/>
          <w:numId w:val="46"/>
        </w:numPr>
        <w:tabs>
          <w:tab w:val="left" w:pos="1441"/>
        </w:tabs>
        <w:spacing w:before="5" w:after="0" w:line="364" w:lineRule="auto"/>
        <w:ind w:left="540" w:right="639" w:firstLine="0"/>
        <w:jc w:val="both"/>
        <w:rPr>
          <w:sz w:val="24"/>
        </w:rPr>
      </w:pPr>
      <w:r>
        <w:rPr>
          <w:spacing w:val="-11"/>
          <w:sz w:val="24"/>
        </w:rPr>
        <w:t>专业分包：指承包人与具有相应资质的施工企业签订专业分包合同，由分包人承</w:t>
      </w:r>
      <w:r>
        <w:rPr>
          <w:sz w:val="24"/>
        </w:rPr>
        <w:t>担承包人委托的分部工程、分项工程或适合专业化队伍施工的其他工程，整体结算，并能独立控制工程质量、施工进度、材料采购、生产安全的施工行为。</w:t>
      </w:r>
    </w:p>
    <w:p>
      <w:pPr>
        <w:pStyle w:val="10"/>
        <w:numPr>
          <w:ilvl w:val="3"/>
          <w:numId w:val="46"/>
        </w:numPr>
        <w:tabs>
          <w:tab w:val="left" w:pos="1441"/>
        </w:tabs>
        <w:spacing w:before="0" w:after="0" w:line="364" w:lineRule="auto"/>
        <w:ind w:left="540" w:right="639" w:firstLine="0"/>
        <w:jc w:val="both"/>
        <w:rPr>
          <w:sz w:val="24"/>
        </w:rPr>
      </w:pPr>
      <w:r>
        <w:rPr>
          <w:spacing w:val="-11"/>
          <w:sz w:val="24"/>
        </w:rPr>
        <w:t>劳务分包：指承包人与具有劳务分包资质的劳务企业签订劳务分包，由劳务企业</w:t>
      </w:r>
      <w:r>
        <w:rPr>
          <w:sz w:val="24"/>
        </w:rPr>
        <w:t>提供劳务人员及机具，由承包人统一组织施工，统一控制工程质量、施工进度、材料采购、生产安全的施工行为。</w:t>
      </w:r>
    </w:p>
    <w:p>
      <w:pPr>
        <w:pStyle w:val="10"/>
        <w:numPr>
          <w:ilvl w:val="3"/>
          <w:numId w:val="46"/>
        </w:numPr>
        <w:tabs>
          <w:tab w:val="left" w:pos="1441"/>
        </w:tabs>
        <w:spacing w:before="0" w:after="0" w:line="362" w:lineRule="auto"/>
        <w:ind w:left="540" w:right="639" w:firstLine="0"/>
        <w:jc w:val="both"/>
        <w:rPr>
          <w:sz w:val="24"/>
        </w:rPr>
      </w:pPr>
      <w:r>
        <w:rPr>
          <w:spacing w:val="-11"/>
          <w:sz w:val="24"/>
        </w:rPr>
        <w:t>雇佣民工：指承包人与具有相应劳动能力的自然人签订劳动合同，由承包人统一</w:t>
      </w:r>
      <w:r>
        <w:rPr>
          <w:sz w:val="24"/>
        </w:rPr>
        <w:t>组织管理，从事分项工程施工或配套工程施工的行为。</w:t>
      </w:r>
    </w:p>
    <w:p>
      <w:pPr>
        <w:pStyle w:val="10"/>
        <w:numPr>
          <w:ilvl w:val="1"/>
          <w:numId w:val="47"/>
        </w:numPr>
        <w:tabs>
          <w:tab w:val="left" w:pos="961"/>
        </w:tabs>
        <w:spacing w:before="1" w:after="0" w:line="240" w:lineRule="auto"/>
        <w:ind w:left="960" w:right="0" w:hanging="421"/>
        <w:jc w:val="both"/>
        <w:rPr>
          <w:sz w:val="24"/>
        </w:rPr>
      </w:pPr>
      <w:r>
        <w:rPr>
          <w:sz w:val="24"/>
        </w:rPr>
        <w:t>合同文件的优先顺序本款约定为：</w:t>
      </w:r>
    </w:p>
    <w:p>
      <w:pPr>
        <w:pStyle w:val="5"/>
        <w:spacing w:before="161" w:line="362" w:lineRule="auto"/>
        <w:ind w:right="574"/>
      </w:pPr>
      <w:r>
        <w:t>组成合同的各项文件应互相解释，互为说明。除项目专用合同条款另有约定外， 解释合同文件的优先顺序如下：</w:t>
      </w:r>
    </w:p>
    <w:p>
      <w:pPr>
        <w:pStyle w:val="10"/>
        <w:numPr>
          <w:ilvl w:val="0"/>
          <w:numId w:val="48"/>
        </w:numPr>
        <w:tabs>
          <w:tab w:val="left" w:pos="1156"/>
        </w:tabs>
        <w:spacing w:before="2" w:after="0" w:line="364" w:lineRule="auto"/>
        <w:ind w:left="540" w:right="639" w:firstLine="0"/>
        <w:jc w:val="left"/>
        <w:rPr>
          <w:sz w:val="24"/>
        </w:rPr>
      </w:pPr>
      <w:r>
        <w:rPr>
          <w:spacing w:val="4"/>
          <w:sz w:val="24"/>
        </w:rPr>
        <w:t>合同协议书及各种合同附件（</w:t>
      </w:r>
      <w:r>
        <w:rPr>
          <w:spacing w:val="3"/>
          <w:sz w:val="24"/>
        </w:rPr>
        <w:t>含评标期间和合同谈判过程中的澄清文件和补充资料）；</w:t>
      </w:r>
    </w:p>
    <w:p>
      <w:pPr>
        <w:pStyle w:val="10"/>
        <w:numPr>
          <w:ilvl w:val="0"/>
          <w:numId w:val="48"/>
        </w:numPr>
        <w:tabs>
          <w:tab w:val="left" w:pos="1142"/>
        </w:tabs>
        <w:spacing w:before="0" w:after="0" w:line="306" w:lineRule="exact"/>
        <w:ind w:left="1141" w:right="0" w:hanging="602"/>
        <w:jc w:val="left"/>
        <w:rPr>
          <w:sz w:val="24"/>
        </w:rPr>
      </w:pPr>
      <w:r>
        <w:rPr>
          <w:sz w:val="24"/>
        </w:rPr>
        <w:t>中标通知书；</w:t>
      </w:r>
    </w:p>
    <w:p>
      <w:pPr>
        <w:pStyle w:val="10"/>
        <w:numPr>
          <w:ilvl w:val="0"/>
          <w:numId w:val="48"/>
        </w:numPr>
        <w:tabs>
          <w:tab w:val="left" w:pos="1142"/>
        </w:tabs>
        <w:spacing w:before="161" w:after="0" w:line="240" w:lineRule="auto"/>
        <w:ind w:left="1141" w:right="0" w:hanging="602"/>
        <w:jc w:val="left"/>
        <w:rPr>
          <w:sz w:val="24"/>
        </w:rPr>
      </w:pPr>
      <w:r>
        <w:rPr>
          <w:sz w:val="24"/>
        </w:rPr>
        <w:t>投标函及投标函附录；</w:t>
      </w:r>
    </w:p>
    <w:p>
      <w:pPr>
        <w:pStyle w:val="10"/>
        <w:numPr>
          <w:ilvl w:val="0"/>
          <w:numId w:val="48"/>
        </w:numPr>
        <w:tabs>
          <w:tab w:val="left" w:pos="1142"/>
        </w:tabs>
        <w:spacing w:before="160" w:after="0" w:line="240" w:lineRule="auto"/>
        <w:ind w:left="1141" w:right="0" w:hanging="602"/>
        <w:jc w:val="left"/>
        <w:rPr>
          <w:sz w:val="24"/>
        </w:rPr>
      </w:pPr>
      <w:r>
        <w:rPr>
          <w:sz w:val="24"/>
        </w:rPr>
        <w:t>项目专用合同条款；</w:t>
      </w:r>
    </w:p>
    <w:p>
      <w:pPr>
        <w:spacing w:after="0" w:line="240" w:lineRule="auto"/>
        <w:jc w:val="left"/>
        <w:rPr>
          <w:sz w:val="24"/>
        </w:rPr>
        <w:sectPr>
          <w:pgSz w:w="11910" w:h="16840"/>
          <w:pgMar w:top="1380" w:right="720" w:bottom="1080" w:left="820" w:header="746" w:footer="891" w:gutter="0"/>
          <w:cols w:space="720" w:num="1"/>
        </w:sectPr>
      </w:pPr>
    </w:p>
    <w:p>
      <w:pPr>
        <w:pStyle w:val="10"/>
        <w:numPr>
          <w:ilvl w:val="0"/>
          <w:numId w:val="48"/>
        </w:numPr>
        <w:tabs>
          <w:tab w:val="left" w:pos="1142"/>
        </w:tabs>
        <w:spacing w:before="61" w:after="0" w:line="240" w:lineRule="auto"/>
        <w:ind w:left="1141" w:right="0" w:hanging="602"/>
        <w:jc w:val="left"/>
        <w:rPr>
          <w:sz w:val="24"/>
        </w:rPr>
      </w:pPr>
      <w:r>
        <w:rPr>
          <w:sz w:val="24"/>
        </w:rPr>
        <w:t>公路工程专用合同条款；</w:t>
      </w:r>
    </w:p>
    <w:p>
      <w:pPr>
        <w:pStyle w:val="10"/>
        <w:numPr>
          <w:ilvl w:val="0"/>
          <w:numId w:val="48"/>
        </w:numPr>
        <w:tabs>
          <w:tab w:val="left" w:pos="1142"/>
        </w:tabs>
        <w:spacing w:before="160" w:after="0" w:line="240" w:lineRule="auto"/>
        <w:ind w:left="1141" w:right="0" w:hanging="602"/>
        <w:jc w:val="left"/>
        <w:rPr>
          <w:sz w:val="24"/>
        </w:rPr>
      </w:pPr>
      <w:r>
        <w:rPr>
          <w:sz w:val="24"/>
        </w:rPr>
        <w:t>通用合同条款；</w:t>
      </w:r>
    </w:p>
    <w:p>
      <w:pPr>
        <w:pStyle w:val="10"/>
        <w:numPr>
          <w:ilvl w:val="0"/>
          <w:numId w:val="48"/>
        </w:numPr>
        <w:tabs>
          <w:tab w:val="left" w:pos="1142"/>
        </w:tabs>
        <w:spacing w:before="158" w:after="0" w:line="240" w:lineRule="auto"/>
        <w:ind w:left="1141" w:right="0" w:hanging="602"/>
        <w:jc w:val="left"/>
        <w:rPr>
          <w:sz w:val="24"/>
        </w:rPr>
      </w:pPr>
      <w:r>
        <w:rPr>
          <w:sz w:val="24"/>
        </w:rPr>
        <w:t>工程量清单计量规则；</w:t>
      </w:r>
    </w:p>
    <w:p>
      <w:pPr>
        <w:pStyle w:val="10"/>
        <w:numPr>
          <w:ilvl w:val="0"/>
          <w:numId w:val="48"/>
        </w:numPr>
        <w:tabs>
          <w:tab w:val="left" w:pos="1142"/>
        </w:tabs>
        <w:spacing w:before="161" w:after="0" w:line="240" w:lineRule="auto"/>
        <w:ind w:left="1141" w:right="0" w:hanging="602"/>
        <w:jc w:val="left"/>
        <w:rPr>
          <w:sz w:val="24"/>
        </w:rPr>
      </w:pPr>
      <w:r>
        <w:rPr>
          <w:sz w:val="24"/>
        </w:rPr>
        <w:t>技术规范；</w:t>
      </w:r>
    </w:p>
    <w:p>
      <w:pPr>
        <w:pStyle w:val="10"/>
        <w:numPr>
          <w:ilvl w:val="0"/>
          <w:numId w:val="48"/>
        </w:numPr>
        <w:tabs>
          <w:tab w:val="left" w:pos="1142"/>
        </w:tabs>
        <w:spacing w:before="158" w:after="0" w:line="240" w:lineRule="auto"/>
        <w:ind w:left="1141" w:right="0" w:hanging="602"/>
        <w:jc w:val="left"/>
        <w:rPr>
          <w:sz w:val="24"/>
        </w:rPr>
      </w:pPr>
      <w:r>
        <w:rPr>
          <w:sz w:val="24"/>
        </w:rPr>
        <w:t>图纸；</w:t>
      </w:r>
    </w:p>
    <w:p>
      <w:pPr>
        <w:pStyle w:val="10"/>
        <w:numPr>
          <w:ilvl w:val="0"/>
          <w:numId w:val="48"/>
        </w:numPr>
        <w:tabs>
          <w:tab w:val="left" w:pos="1262"/>
        </w:tabs>
        <w:spacing w:before="160" w:after="0" w:line="240" w:lineRule="auto"/>
        <w:ind w:left="1261" w:right="0" w:hanging="722"/>
        <w:jc w:val="left"/>
        <w:rPr>
          <w:sz w:val="24"/>
        </w:rPr>
      </w:pPr>
      <w:r>
        <w:rPr>
          <w:sz w:val="24"/>
        </w:rPr>
        <w:t>已标价工程量清单；</w:t>
      </w:r>
    </w:p>
    <w:p>
      <w:pPr>
        <w:pStyle w:val="10"/>
        <w:numPr>
          <w:ilvl w:val="0"/>
          <w:numId w:val="48"/>
        </w:numPr>
        <w:tabs>
          <w:tab w:val="left" w:pos="1262"/>
        </w:tabs>
        <w:spacing w:before="158" w:after="0" w:line="240" w:lineRule="auto"/>
        <w:ind w:left="1261" w:right="0" w:hanging="722"/>
        <w:jc w:val="left"/>
        <w:rPr>
          <w:sz w:val="24"/>
        </w:rPr>
      </w:pPr>
      <w:r>
        <w:rPr>
          <w:sz w:val="24"/>
        </w:rPr>
        <w:t>承包人有关人员、设备投入的承诺及投标文件中的施工组织设计；</w:t>
      </w:r>
    </w:p>
    <w:p>
      <w:pPr>
        <w:pStyle w:val="10"/>
        <w:numPr>
          <w:ilvl w:val="0"/>
          <w:numId w:val="48"/>
        </w:numPr>
        <w:tabs>
          <w:tab w:val="left" w:pos="1262"/>
        </w:tabs>
        <w:spacing w:before="161" w:after="0" w:line="240" w:lineRule="auto"/>
        <w:ind w:left="1261" w:right="0" w:hanging="722"/>
        <w:jc w:val="left"/>
        <w:rPr>
          <w:sz w:val="24"/>
        </w:rPr>
      </w:pPr>
      <w:r>
        <w:rPr>
          <w:sz w:val="24"/>
        </w:rPr>
        <w:t>其他合同文件。</w:t>
      </w:r>
    </w:p>
    <w:p>
      <w:pPr>
        <w:pStyle w:val="10"/>
        <w:numPr>
          <w:ilvl w:val="1"/>
          <w:numId w:val="47"/>
        </w:numPr>
        <w:tabs>
          <w:tab w:val="left" w:pos="961"/>
        </w:tabs>
        <w:spacing w:before="160" w:after="0" w:line="240" w:lineRule="auto"/>
        <w:ind w:left="960" w:right="0" w:hanging="421"/>
        <w:jc w:val="left"/>
        <w:rPr>
          <w:sz w:val="24"/>
        </w:rPr>
      </w:pPr>
      <w:r>
        <w:rPr>
          <w:sz w:val="24"/>
        </w:rPr>
        <w:t>合同协议书本款补充：</w:t>
      </w:r>
    </w:p>
    <w:p>
      <w:pPr>
        <w:pStyle w:val="5"/>
        <w:spacing w:before="158" w:line="362" w:lineRule="auto"/>
        <w:ind w:right="639"/>
      </w:pPr>
      <w:r>
        <w:t>制备本合同文件的费用由发包人承担。在合同协议书签订并生效之前，投标函和中标通知书将对双方具有约束力。</w:t>
      </w:r>
    </w:p>
    <w:p>
      <w:pPr>
        <w:pStyle w:val="10"/>
        <w:numPr>
          <w:ilvl w:val="1"/>
          <w:numId w:val="47"/>
        </w:numPr>
        <w:tabs>
          <w:tab w:val="left" w:pos="961"/>
        </w:tabs>
        <w:spacing w:before="5" w:after="0" w:line="240" w:lineRule="auto"/>
        <w:ind w:left="960" w:right="0" w:hanging="421"/>
        <w:jc w:val="left"/>
        <w:rPr>
          <w:sz w:val="24"/>
        </w:rPr>
      </w:pPr>
      <w:r>
        <w:rPr>
          <w:sz w:val="24"/>
        </w:rPr>
        <w:t>图纸和承包人文件</w:t>
      </w:r>
    </w:p>
    <w:p>
      <w:pPr>
        <w:pStyle w:val="10"/>
        <w:numPr>
          <w:ilvl w:val="2"/>
          <w:numId w:val="47"/>
        </w:numPr>
        <w:tabs>
          <w:tab w:val="left" w:pos="1201"/>
        </w:tabs>
        <w:spacing w:before="161" w:after="0" w:line="240" w:lineRule="auto"/>
        <w:ind w:left="1200" w:right="0" w:hanging="661"/>
        <w:jc w:val="left"/>
        <w:rPr>
          <w:sz w:val="24"/>
        </w:rPr>
      </w:pPr>
      <w:r>
        <w:rPr>
          <w:sz w:val="24"/>
        </w:rPr>
        <w:t>图纸的提供本项细化为：</w:t>
      </w:r>
    </w:p>
    <w:p>
      <w:pPr>
        <w:pStyle w:val="5"/>
        <w:spacing w:before="158"/>
        <w:jc w:val="both"/>
      </w:pPr>
      <w:r>
        <w:t>监理人应在发出中标通知书之后 42 天内，向承包人免费提供由发包人或其委托的</w:t>
      </w:r>
    </w:p>
    <w:p>
      <w:pPr>
        <w:pStyle w:val="5"/>
        <w:spacing w:before="160" w:line="364" w:lineRule="auto"/>
        <w:ind w:right="584"/>
        <w:jc w:val="both"/>
      </w:pPr>
      <w:r>
        <w:t>设计单位设计的施工图纸、技术规范和其他技术资料 2 份，并向承包人进行技术交底。承包人需要更多份数时，应自费复制。由于发包人未按时提供图纸造成工期延误的，按第 11.3 款的约定办理。</w:t>
      </w:r>
    </w:p>
    <w:p>
      <w:pPr>
        <w:pStyle w:val="10"/>
        <w:numPr>
          <w:ilvl w:val="2"/>
          <w:numId w:val="47"/>
        </w:numPr>
        <w:tabs>
          <w:tab w:val="left" w:pos="1201"/>
        </w:tabs>
        <w:spacing w:before="0" w:after="0" w:line="305" w:lineRule="exact"/>
        <w:ind w:left="1200" w:right="0" w:hanging="661"/>
        <w:jc w:val="both"/>
        <w:rPr>
          <w:sz w:val="24"/>
        </w:rPr>
      </w:pPr>
      <w:r>
        <w:rPr>
          <w:sz w:val="24"/>
        </w:rPr>
        <w:t>承包人提供的文件本项细化为：</w:t>
      </w:r>
    </w:p>
    <w:p>
      <w:pPr>
        <w:pStyle w:val="5"/>
        <w:spacing w:before="161" w:line="364" w:lineRule="auto"/>
        <w:ind w:right="639"/>
        <w:jc w:val="both"/>
      </w:pPr>
      <w:r>
        <w:t>有下列情形之一的，承包人应免费向监理人提交相关部分工程的施工图纸 3</w:t>
      </w:r>
      <w:r>
        <w:rPr>
          <w:spacing w:val="5"/>
        </w:rPr>
        <w:t xml:space="preserve"> 份， 并附</w:t>
      </w:r>
      <w:r>
        <w:rPr>
          <w:spacing w:val="-13"/>
        </w:rPr>
        <w:t xml:space="preserve">必要的计算书、技术资料，或施工工艺图、设备安装图及安装设备的使用和维护手册各 </w:t>
      </w:r>
      <w:r>
        <w:rPr>
          <w:spacing w:val="-16"/>
        </w:rPr>
        <w:t xml:space="preserve">2 </w:t>
      </w:r>
      <w:r>
        <w:t>份供监理人批准。</w:t>
      </w:r>
    </w:p>
    <w:p>
      <w:pPr>
        <w:pStyle w:val="10"/>
        <w:numPr>
          <w:ilvl w:val="0"/>
          <w:numId w:val="49"/>
        </w:numPr>
        <w:tabs>
          <w:tab w:val="left" w:pos="1142"/>
        </w:tabs>
        <w:spacing w:before="0" w:after="0" w:line="304" w:lineRule="exact"/>
        <w:ind w:left="1141" w:right="0" w:hanging="602"/>
        <w:jc w:val="both"/>
        <w:rPr>
          <w:sz w:val="24"/>
        </w:rPr>
      </w:pPr>
      <w:r>
        <w:rPr>
          <w:sz w:val="24"/>
        </w:rPr>
        <w:t>为使第 1.6.1 项所述的施工图纸适合于经现场测量后的纵、横断面；</w:t>
      </w:r>
    </w:p>
    <w:p>
      <w:pPr>
        <w:pStyle w:val="10"/>
        <w:numPr>
          <w:ilvl w:val="0"/>
          <w:numId w:val="49"/>
        </w:numPr>
        <w:tabs>
          <w:tab w:val="left" w:pos="1142"/>
        </w:tabs>
        <w:spacing w:before="160" w:after="0" w:line="240" w:lineRule="auto"/>
        <w:ind w:left="1141" w:right="0" w:hanging="602"/>
        <w:jc w:val="both"/>
        <w:rPr>
          <w:sz w:val="24"/>
        </w:rPr>
      </w:pPr>
      <w:r>
        <w:rPr>
          <w:sz w:val="24"/>
        </w:rPr>
        <w:t>为使第 1.6.1 项所述的施工图纸适合于现场具体地形；</w:t>
      </w:r>
    </w:p>
    <w:p>
      <w:pPr>
        <w:pStyle w:val="10"/>
        <w:numPr>
          <w:ilvl w:val="0"/>
          <w:numId w:val="49"/>
        </w:numPr>
        <w:tabs>
          <w:tab w:val="left" w:pos="1142"/>
        </w:tabs>
        <w:spacing w:before="161" w:after="0" w:line="240" w:lineRule="auto"/>
        <w:ind w:left="1141" w:right="0" w:hanging="602"/>
        <w:jc w:val="both"/>
        <w:rPr>
          <w:sz w:val="24"/>
        </w:rPr>
      </w:pPr>
      <w:r>
        <w:rPr>
          <w:sz w:val="24"/>
        </w:rPr>
        <w:t>为使第 1.6.1 项所述的施工图纸适合于因尺寸与位置变化而引起局部变更；</w:t>
      </w:r>
    </w:p>
    <w:p>
      <w:pPr>
        <w:pStyle w:val="10"/>
        <w:numPr>
          <w:ilvl w:val="0"/>
          <w:numId w:val="49"/>
        </w:numPr>
        <w:tabs>
          <w:tab w:val="left" w:pos="1142"/>
        </w:tabs>
        <w:spacing w:before="158" w:after="0" w:line="240" w:lineRule="auto"/>
        <w:ind w:left="1141" w:right="0" w:hanging="602"/>
        <w:jc w:val="left"/>
        <w:rPr>
          <w:sz w:val="24"/>
        </w:rPr>
      </w:pPr>
      <w:r>
        <w:rPr>
          <w:sz w:val="24"/>
        </w:rPr>
        <w:t>由于合同要求与施工需要。</w:t>
      </w:r>
    </w:p>
    <w:p>
      <w:pPr>
        <w:pStyle w:val="5"/>
        <w:spacing w:before="158" w:line="364" w:lineRule="auto"/>
        <w:ind w:right="639"/>
      </w:pPr>
      <w:r>
        <w:t>此类图纸应按监理人规定的格式和图幅绘制。监理人在收到由承包人绘制的上述工程、工艺图纸、计算书和有关技术资料后 14 天内应予批准或提出修改要求，承包人</w:t>
      </w:r>
    </w:p>
    <w:p>
      <w:pPr>
        <w:pStyle w:val="5"/>
        <w:spacing w:line="364" w:lineRule="auto"/>
        <w:ind w:right="574"/>
      </w:pPr>
      <w:r>
        <w:t>应按监理人提出的要求做出修改，重新向监理人提交，监理人应在 7 天内批准或提出进一步的修改意见。</w:t>
      </w:r>
    </w:p>
    <w:p>
      <w:pPr>
        <w:pStyle w:val="5"/>
      </w:pPr>
      <w:r>
        <w:t>1.6.4 图纸的错误本项细化为：</w:t>
      </w:r>
    </w:p>
    <w:p>
      <w:pPr>
        <w:spacing w:after="0"/>
        <w:sectPr>
          <w:pgSz w:w="11910" w:h="16840"/>
          <w:pgMar w:top="1380" w:right="720" w:bottom="1080" w:left="820" w:header="746" w:footer="891" w:gutter="0"/>
          <w:cols w:space="720" w:num="1"/>
        </w:sectPr>
      </w:pPr>
    </w:p>
    <w:p>
      <w:pPr>
        <w:pStyle w:val="5"/>
        <w:spacing w:before="61" w:line="364" w:lineRule="auto"/>
        <w:ind w:right="470"/>
      </w:pPr>
      <w:r>
        <w:t>当承包人在查阅合同文件或在本合同工程实施过程中，发现有关的工程设计、技术规范、图纸或其他资料中的任何差错、遗漏或缺陷后，应及时通知监理人。监理人接到该通知后，应立即就此做出决定，并通知承包人和发包人。</w:t>
      </w:r>
    </w:p>
    <w:p>
      <w:pPr>
        <w:pStyle w:val="5"/>
        <w:spacing w:line="362" w:lineRule="auto"/>
        <w:ind w:right="8384"/>
      </w:pPr>
      <w:r>
        <w:t>1.9 严禁贿赂本款补充：</w:t>
      </w:r>
    </w:p>
    <w:p>
      <w:pPr>
        <w:pStyle w:val="5"/>
        <w:spacing w:before="4" w:line="364" w:lineRule="auto"/>
        <w:ind w:right="639"/>
        <w:jc w:val="both"/>
      </w:pPr>
      <w: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上述行为造成的工程损耗害、发包人的经济损失等承担一切责任，并予赔偿。情节严重者，发包人有权终止承包人在本合同项下的承包。</w:t>
      </w:r>
    </w:p>
    <w:p>
      <w:pPr>
        <w:pStyle w:val="10"/>
        <w:numPr>
          <w:ilvl w:val="0"/>
          <w:numId w:val="44"/>
        </w:numPr>
        <w:tabs>
          <w:tab w:val="left" w:pos="782"/>
        </w:tabs>
        <w:spacing w:before="0" w:after="0" w:line="304" w:lineRule="exact"/>
        <w:ind w:left="781" w:right="0" w:hanging="242"/>
        <w:jc w:val="left"/>
        <w:rPr>
          <w:sz w:val="24"/>
        </w:rPr>
      </w:pPr>
      <w:r>
        <w:rPr>
          <w:sz w:val="24"/>
        </w:rPr>
        <w:t>发包人义务</w:t>
      </w:r>
    </w:p>
    <w:p>
      <w:pPr>
        <w:pStyle w:val="5"/>
        <w:spacing w:before="160"/>
        <w:jc w:val="both"/>
      </w:pPr>
      <w:r>
        <w:t>2.3 提供施工场地本款补充：</w:t>
      </w:r>
    </w:p>
    <w:p>
      <w:pPr>
        <w:pStyle w:val="5"/>
        <w:spacing w:before="158" w:line="364" w:lineRule="auto"/>
        <w:ind w:right="639"/>
        <w:jc w:val="both"/>
      </w:pPr>
      <w:r>
        <w:t>发包人负责办理永久占地的征用及与之有关的拆迁赔偿手续并承担相关费用。承包人在按第 10 条规定提交施工进度计划的同时，应向监理人提交一份按施工先后次序</w:t>
      </w:r>
    </w:p>
    <w:p>
      <w:pPr>
        <w:pStyle w:val="5"/>
        <w:spacing w:line="364" w:lineRule="auto"/>
        <w:ind w:right="637"/>
        <w:jc w:val="both"/>
      </w:pPr>
      <w:r>
        <w:t>所需的永久占地计划。监理人应在收到此计划后的 14 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及拆迁赔偿手续，通知承包人使用，以使承包人能够连续不间断地施工。由于承包人施工考虑不周或措施不当等原因而造成的超计划占地或拆迁等发生的征用和赔偿费用，应由承包人承担。</w:t>
      </w:r>
    </w:p>
    <w:p>
      <w:pPr>
        <w:pStyle w:val="5"/>
        <w:spacing w:line="364" w:lineRule="auto"/>
        <w:ind w:right="639"/>
        <w:jc w:val="both"/>
      </w:pPr>
      <w: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pPr>
        <w:pStyle w:val="10"/>
        <w:numPr>
          <w:ilvl w:val="0"/>
          <w:numId w:val="44"/>
        </w:numPr>
        <w:tabs>
          <w:tab w:val="left" w:pos="782"/>
        </w:tabs>
        <w:spacing w:before="0" w:after="0" w:line="305" w:lineRule="exact"/>
        <w:ind w:left="781" w:right="0" w:hanging="242"/>
        <w:jc w:val="left"/>
        <w:rPr>
          <w:sz w:val="24"/>
        </w:rPr>
      </w:pPr>
      <w:r>
        <w:rPr>
          <w:sz w:val="24"/>
        </w:rPr>
        <w:t>监理人</w:t>
      </w:r>
    </w:p>
    <w:p>
      <w:pPr>
        <w:pStyle w:val="10"/>
        <w:numPr>
          <w:ilvl w:val="1"/>
          <w:numId w:val="44"/>
        </w:numPr>
        <w:tabs>
          <w:tab w:val="left" w:pos="961"/>
        </w:tabs>
        <w:spacing w:before="154" w:after="0" w:line="240" w:lineRule="auto"/>
        <w:ind w:left="960" w:right="0" w:hanging="421"/>
        <w:jc w:val="both"/>
        <w:rPr>
          <w:sz w:val="24"/>
        </w:rPr>
      </w:pPr>
      <w:r>
        <w:rPr>
          <w:sz w:val="24"/>
        </w:rPr>
        <w:t>监理人的职责和权力第 3.1.1 项补充：</w:t>
      </w:r>
    </w:p>
    <w:p>
      <w:pPr>
        <w:pStyle w:val="5"/>
        <w:spacing w:before="161"/>
      </w:pPr>
      <w:r>
        <w:t>监理人在行使下列权力前需要经发包人事先批准：</w:t>
      </w:r>
    </w:p>
    <w:p>
      <w:pPr>
        <w:pStyle w:val="5"/>
        <w:spacing w:before="160"/>
      </w:pPr>
      <w:r>
        <w:t>（1）根据第 4.3 款，同意分包本工程的某些非主体和非关键性工作；</w:t>
      </w:r>
    </w:p>
    <w:p>
      <w:pPr>
        <w:spacing w:after="0"/>
        <w:sectPr>
          <w:pgSz w:w="11910" w:h="16840"/>
          <w:pgMar w:top="1380" w:right="720" w:bottom="1080" w:left="820" w:header="746" w:footer="891" w:gutter="0"/>
          <w:cols w:space="720" w:num="1"/>
        </w:sectPr>
      </w:pPr>
    </w:p>
    <w:p>
      <w:pPr>
        <w:pStyle w:val="5"/>
        <w:spacing w:before="4"/>
        <w:ind w:left="0"/>
        <w:rPr>
          <w:sz w:val="7"/>
        </w:rPr>
      </w:pPr>
    </w:p>
    <w:tbl>
      <w:tblPr>
        <w:tblStyle w:val="7"/>
        <w:tblW w:w="0" w:type="auto"/>
        <w:tblInd w:w="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23"/>
        <w:gridCol w:w="600"/>
        <w:gridCol w:w="72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23" w:type="dxa"/>
          </w:tcPr>
          <w:p>
            <w:pPr>
              <w:pStyle w:val="11"/>
              <w:spacing w:line="274" w:lineRule="exact"/>
              <w:ind w:left="50"/>
              <w:rPr>
                <w:sz w:val="24"/>
              </w:rPr>
            </w:pPr>
            <w:r>
              <w:rPr>
                <w:sz w:val="24"/>
              </w:rPr>
              <w:t>（2）确定第</w:t>
            </w:r>
          </w:p>
        </w:tc>
        <w:tc>
          <w:tcPr>
            <w:tcW w:w="600" w:type="dxa"/>
          </w:tcPr>
          <w:p>
            <w:pPr>
              <w:pStyle w:val="11"/>
              <w:spacing w:line="274" w:lineRule="exact"/>
              <w:ind w:left="34" w:right="20"/>
              <w:jc w:val="center"/>
              <w:rPr>
                <w:sz w:val="24"/>
              </w:rPr>
            </w:pPr>
            <w:r>
              <w:rPr>
                <w:sz w:val="24"/>
              </w:rPr>
              <w:t>4.11</w:t>
            </w:r>
          </w:p>
        </w:tc>
        <w:tc>
          <w:tcPr>
            <w:tcW w:w="7262" w:type="dxa"/>
          </w:tcPr>
          <w:p>
            <w:pPr>
              <w:pStyle w:val="11"/>
              <w:spacing w:line="274" w:lineRule="exact"/>
              <w:ind w:left="66"/>
              <w:rPr>
                <w:sz w:val="24"/>
              </w:rPr>
            </w:pPr>
            <w:r>
              <w:rPr>
                <w:sz w:val="24"/>
              </w:rPr>
              <w:t>款下产生的费用增加额；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423" w:type="dxa"/>
          </w:tcPr>
          <w:p>
            <w:pPr>
              <w:pStyle w:val="11"/>
              <w:spacing w:before="80"/>
              <w:ind w:left="50"/>
              <w:rPr>
                <w:sz w:val="24"/>
              </w:rPr>
            </w:pPr>
            <w:r>
              <w:rPr>
                <w:sz w:val="24"/>
              </w:rPr>
              <w:t>（3）根据第</w:t>
            </w:r>
          </w:p>
        </w:tc>
        <w:tc>
          <w:tcPr>
            <w:tcW w:w="600" w:type="dxa"/>
          </w:tcPr>
          <w:p>
            <w:pPr>
              <w:pStyle w:val="11"/>
              <w:spacing w:before="80"/>
              <w:ind w:left="21" w:right="33"/>
              <w:jc w:val="center"/>
              <w:rPr>
                <w:sz w:val="24"/>
              </w:rPr>
            </w:pPr>
            <w:r>
              <w:rPr>
                <w:sz w:val="24"/>
              </w:rPr>
              <w:t>11.1</w:t>
            </w:r>
          </w:p>
        </w:tc>
        <w:tc>
          <w:tcPr>
            <w:tcW w:w="7262" w:type="dxa"/>
          </w:tcPr>
          <w:p>
            <w:pPr>
              <w:pStyle w:val="11"/>
              <w:spacing w:before="80"/>
              <w:ind w:left="52"/>
              <w:rPr>
                <w:sz w:val="24"/>
              </w:rPr>
            </w:pPr>
            <w:r>
              <w:rPr>
                <w:sz w:val="24"/>
              </w:rPr>
              <w:t>款、第 12.3 款、第 12.4 款发布开工通知、暂停施工指示或复工通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423" w:type="dxa"/>
          </w:tcPr>
          <w:p>
            <w:pPr>
              <w:pStyle w:val="11"/>
              <w:spacing w:before="79"/>
              <w:ind w:left="50"/>
              <w:rPr>
                <w:sz w:val="24"/>
              </w:rPr>
            </w:pPr>
            <w:r>
              <w:rPr>
                <w:sz w:val="24"/>
              </w:rPr>
              <w:t>知；</w:t>
            </w:r>
          </w:p>
        </w:tc>
        <w:tc>
          <w:tcPr>
            <w:tcW w:w="600" w:type="dxa"/>
          </w:tcPr>
          <w:p>
            <w:pPr>
              <w:pStyle w:val="11"/>
              <w:rPr>
                <w:rFonts w:ascii="Times New Roman"/>
                <w:sz w:val="22"/>
              </w:rPr>
            </w:pPr>
          </w:p>
        </w:tc>
        <w:tc>
          <w:tcPr>
            <w:tcW w:w="7262" w:type="dxa"/>
          </w:tcPr>
          <w:p>
            <w:pPr>
              <w:pStyle w:val="11"/>
              <w:rPr>
                <w:rFonts w:ascii="Times New Roman"/>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1423" w:type="dxa"/>
          </w:tcPr>
          <w:p>
            <w:pPr>
              <w:pStyle w:val="11"/>
              <w:spacing w:before="80" w:line="254" w:lineRule="exact"/>
              <w:ind w:left="50"/>
              <w:rPr>
                <w:sz w:val="24"/>
              </w:rPr>
            </w:pPr>
            <w:r>
              <w:rPr>
                <w:sz w:val="24"/>
              </w:rPr>
              <w:t>（4）决定第</w:t>
            </w:r>
          </w:p>
        </w:tc>
        <w:tc>
          <w:tcPr>
            <w:tcW w:w="600" w:type="dxa"/>
          </w:tcPr>
          <w:p>
            <w:pPr>
              <w:pStyle w:val="11"/>
              <w:spacing w:before="80" w:line="254" w:lineRule="exact"/>
              <w:ind w:left="34" w:right="20"/>
              <w:jc w:val="center"/>
              <w:rPr>
                <w:sz w:val="24"/>
              </w:rPr>
            </w:pPr>
            <w:r>
              <w:rPr>
                <w:sz w:val="24"/>
              </w:rPr>
              <w:t>11.3</w:t>
            </w:r>
          </w:p>
        </w:tc>
        <w:tc>
          <w:tcPr>
            <w:tcW w:w="7262" w:type="dxa"/>
          </w:tcPr>
          <w:p>
            <w:pPr>
              <w:pStyle w:val="11"/>
              <w:spacing w:before="80" w:line="254" w:lineRule="exact"/>
              <w:ind w:left="66"/>
              <w:rPr>
                <w:sz w:val="24"/>
              </w:rPr>
            </w:pPr>
            <w:r>
              <w:rPr>
                <w:sz w:val="24"/>
              </w:rPr>
              <w:t>款、第 11.4 款下的工期延长；</w:t>
            </w:r>
          </w:p>
        </w:tc>
      </w:tr>
    </w:tbl>
    <w:p>
      <w:pPr>
        <w:pStyle w:val="5"/>
        <w:spacing w:before="11"/>
        <w:ind w:left="0"/>
        <w:rPr>
          <w:sz w:val="9"/>
        </w:rPr>
      </w:pPr>
    </w:p>
    <w:p>
      <w:pPr>
        <w:pStyle w:val="10"/>
        <w:numPr>
          <w:ilvl w:val="0"/>
          <w:numId w:val="50"/>
        </w:numPr>
        <w:tabs>
          <w:tab w:val="left" w:pos="1142"/>
        </w:tabs>
        <w:spacing w:before="66" w:after="0" w:line="240" w:lineRule="auto"/>
        <w:ind w:left="1141" w:right="0" w:hanging="602"/>
        <w:jc w:val="left"/>
        <w:rPr>
          <w:sz w:val="24"/>
        </w:rPr>
      </w:pPr>
      <w:r>
        <w:rPr>
          <w:sz w:val="24"/>
        </w:rPr>
        <w:t>审查批准技术规范或设计的变更；</w:t>
      </w:r>
    </w:p>
    <w:p>
      <w:pPr>
        <w:pStyle w:val="10"/>
        <w:numPr>
          <w:ilvl w:val="0"/>
          <w:numId w:val="50"/>
        </w:numPr>
        <w:tabs>
          <w:tab w:val="left" w:pos="1142"/>
        </w:tabs>
        <w:spacing w:before="161" w:after="0" w:line="362" w:lineRule="auto"/>
        <w:ind w:left="540" w:right="639" w:firstLine="0"/>
        <w:jc w:val="left"/>
        <w:rPr>
          <w:sz w:val="24"/>
        </w:rPr>
      </w:pPr>
      <w:r>
        <w:rPr>
          <w:sz w:val="24"/>
        </w:rPr>
        <w:t>根据第 15.3</w:t>
      </w:r>
      <w:r>
        <w:rPr>
          <w:spacing w:val="-3"/>
          <w:sz w:val="24"/>
        </w:rPr>
        <w:t xml:space="preserve"> 款发出的变更指令，其单项工程变更或累计变更涉及的金额超过了</w:t>
      </w:r>
      <w:r>
        <w:rPr>
          <w:spacing w:val="-4"/>
          <w:sz w:val="24"/>
        </w:rPr>
        <w:t>项目专用合同条款数据表规定的金额；</w:t>
      </w:r>
    </w:p>
    <w:p>
      <w:pPr>
        <w:pStyle w:val="10"/>
        <w:numPr>
          <w:ilvl w:val="0"/>
          <w:numId w:val="50"/>
        </w:numPr>
        <w:tabs>
          <w:tab w:val="left" w:pos="1142"/>
        </w:tabs>
        <w:spacing w:before="5" w:after="0" w:line="240" w:lineRule="auto"/>
        <w:ind w:left="1141" w:right="0" w:hanging="602"/>
        <w:jc w:val="left"/>
        <w:rPr>
          <w:sz w:val="24"/>
        </w:rPr>
      </w:pPr>
      <w:r>
        <w:rPr>
          <w:sz w:val="24"/>
        </w:rPr>
        <w:t>确定第 15.4 款下变更工作的单价；</w:t>
      </w:r>
    </w:p>
    <w:p>
      <w:pPr>
        <w:pStyle w:val="10"/>
        <w:numPr>
          <w:ilvl w:val="0"/>
          <w:numId w:val="50"/>
        </w:numPr>
        <w:tabs>
          <w:tab w:val="left" w:pos="1142"/>
        </w:tabs>
        <w:spacing w:before="160" w:after="0" w:line="240" w:lineRule="auto"/>
        <w:ind w:left="1141" w:right="0" w:hanging="602"/>
        <w:jc w:val="left"/>
        <w:rPr>
          <w:sz w:val="24"/>
        </w:rPr>
      </w:pPr>
      <w:r>
        <w:rPr>
          <w:sz w:val="24"/>
        </w:rPr>
        <w:t>按照第 15.6 款决定有关暂列金额的使用；</w:t>
      </w:r>
    </w:p>
    <w:p>
      <w:pPr>
        <w:pStyle w:val="10"/>
        <w:numPr>
          <w:ilvl w:val="0"/>
          <w:numId w:val="50"/>
        </w:numPr>
        <w:tabs>
          <w:tab w:val="left" w:pos="1142"/>
        </w:tabs>
        <w:spacing w:before="158" w:after="0" w:line="240" w:lineRule="auto"/>
        <w:ind w:left="1141" w:right="0" w:hanging="602"/>
        <w:jc w:val="left"/>
        <w:rPr>
          <w:sz w:val="24"/>
        </w:rPr>
      </w:pPr>
      <w:r>
        <w:rPr>
          <w:sz w:val="24"/>
        </w:rPr>
        <w:t>确定第 15.8 款项下的暂估价金额；</w:t>
      </w:r>
    </w:p>
    <w:p>
      <w:pPr>
        <w:pStyle w:val="10"/>
        <w:numPr>
          <w:ilvl w:val="0"/>
          <w:numId w:val="50"/>
        </w:numPr>
        <w:tabs>
          <w:tab w:val="left" w:pos="1262"/>
        </w:tabs>
        <w:spacing w:before="158" w:after="0" w:line="240" w:lineRule="auto"/>
        <w:ind w:left="1261" w:right="0" w:hanging="722"/>
        <w:jc w:val="both"/>
        <w:rPr>
          <w:sz w:val="24"/>
        </w:rPr>
      </w:pPr>
      <w:r>
        <w:rPr>
          <w:sz w:val="24"/>
        </w:rPr>
        <w:t>确定第 23.1 款项下的索赔额。</w:t>
      </w:r>
    </w:p>
    <w:p>
      <w:pPr>
        <w:pStyle w:val="5"/>
        <w:spacing w:before="161" w:line="364" w:lineRule="auto"/>
        <w:ind w:right="639"/>
        <w:jc w:val="both"/>
      </w:pPr>
      <w:r>
        <w:t>如果发生紧急情况，监理人认为将造成人员伤亡，或危及本工程或邻近的财产需立即采取行动，监理人有权在未征得发包人的批准的情况下发布处理紧急情况所比需的指令， 承包人应予执行，由此造成的费用增加由监理人按第 3.5 款商定或确定。</w:t>
      </w:r>
    </w:p>
    <w:p>
      <w:pPr>
        <w:pStyle w:val="5"/>
        <w:spacing w:line="307" w:lineRule="exact"/>
        <w:jc w:val="both"/>
      </w:pPr>
      <w:r>
        <w:t>3.5 商定或确定</w:t>
      </w:r>
    </w:p>
    <w:p>
      <w:pPr>
        <w:pStyle w:val="5"/>
        <w:spacing w:before="158"/>
      </w:pPr>
      <w:r>
        <w:t>第 3.5.1 项补充：</w:t>
      </w:r>
    </w:p>
    <w:p>
      <w:pPr>
        <w:pStyle w:val="5"/>
        <w:spacing w:before="160" w:line="362" w:lineRule="auto"/>
        <w:ind w:right="639"/>
      </w:pPr>
      <w:r>
        <w:t>如果这项商定或确定导致费用增加和（或）工期延长，或者涉及确定变更工程的价格， 则总监理工程师在发出通知前，应征得发包人的同意。</w:t>
      </w:r>
    </w:p>
    <w:p>
      <w:pPr>
        <w:pStyle w:val="10"/>
        <w:numPr>
          <w:ilvl w:val="0"/>
          <w:numId w:val="44"/>
        </w:numPr>
        <w:tabs>
          <w:tab w:val="left" w:pos="782"/>
        </w:tabs>
        <w:spacing w:before="5" w:after="0" w:line="240" w:lineRule="auto"/>
        <w:ind w:left="781" w:right="0" w:hanging="242"/>
        <w:jc w:val="left"/>
        <w:rPr>
          <w:sz w:val="24"/>
        </w:rPr>
      </w:pPr>
      <w:r>
        <w:rPr>
          <w:sz w:val="24"/>
        </w:rPr>
        <w:t>承包人</w:t>
      </w:r>
    </w:p>
    <w:p>
      <w:pPr>
        <w:pStyle w:val="10"/>
        <w:numPr>
          <w:ilvl w:val="1"/>
          <w:numId w:val="44"/>
        </w:numPr>
        <w:tabs>
          <w:tab w:val="left" w:pos="961"/>
        </w:tabs>
        <w:spacing w:before="158" w:after="0" w:line="240" w:lineRule="auto"/>
        <w:ind w:left="960" w:right="0" w:hanging="421"/>
        <w:jc w:val="both"/>
        <w:rPr>
          <w:sz w:val="24"/>
        </w:rPr>
      </w:pPr>
      <w:r>
        <w:rPr>
          <w:sz w:val="24"/>
        </w:rPr>
        <w:t>承包工的一般义务</w:t>
      </w:r>
    </w:p>
    <w:p>
      <w:pPr>
        <w:pStyle w:val="10"/>
        <w:numPr>
          <w:ilvl w:val="2"/>
          <w:numId w:val="51"/>
        </w:numPr>
        <w:tabs>
          <w:tab w:val="left" w:pos="1201"/>
        </w:tabs>
        <w:spacing w:before="161" w:after="0" w:line="240" w:lineRule="auto"/>
        <w:ind w:left="1200" w:right="0" w:hanging="661"/>
        <w:jc w:val="both"/>
        <w:rPr>
          <w:sz w:val="24"/>
        </w:rPr>
      </w:pPr>
      <w:r>
        <w:rPr>
          <w:sz w:val="24"/>
        </w:rPr>
        <w:t>工程的维护和照管本项细化为：</w:t>
      </w:r>
    </w:p>
    <w:p>
      <w:pPr>
        <w:pStyle w:val="10"/>
        <w:numPr>
          <w:ilvl w:val="0"/>
          <w:numId w:val="52"/>
        </w:numPr>
        <w:tabs>
          <w:tab w:val="left" w:pos="1142"/>
        </w:tabs>
        <w:spacing w:before="158" w:after="0" w:line="364" w:lineRule="auto"/>
        <w:ind w:left="540" w:right="639" w:firstLine="0"/>
        <w:jc w:val="both"/>
        <w:rPr>
          <w:sz w:val="24"/>
        </w:rPr>
      </w:pPr>
      <w:r>
        <w:rPr>
          <w:spacing w:val="-3"/>
          <w:sz w:val="24"/>
        </w:rPr>
        <w:t>交工验收证书颁发前，承包人应负责照管和维护工程及将用于或安装在本工程中</w:t>
      </w:r>
      <w:r>
        <w:rPr>
          <w:spacing w:val="-4"/>
          <w:sz w:val="24"/>
        </w:rPr>
        <w:t>的材料、设备。交工验收证书颁发时尚有部分未交工工程的，承包人还应负责该未交工工程、材料、设备的照管和维护工作，直至交工后移交给发包人为止。</w:t>
      </w:r>
    </w:p>
    <w:p>
      <w:pPr>
        <w:pStyle w:val="10"/>
        <w:numPr>
          <w:ilvl w:val="0"/>
          <w:numId w:val="52"/>
        </w:numPr>
        <w:tabs>
          <w:tab w:val="left" w:pos="1146"/>
        </w:tabs>
        <w:spacing w:before="0" w:after="0" w:line="364" w:lineRule="auto"/>
        <w:ind w:left="540" w:right="639" w:firstLine="0"/>
        <w:jc w:val="both"/>
        <w:rPr>
          <w:sz w:val="24"/>
        </w:rPr>
      </w:pPr>
      <w:r>
        <w:rPr>
          <w:sz w:val="24"/>
        </w:rPr>
        <w:t>在承包人负责照管与维护期间，如果本工程或材料、设备等发生损失或损 害，除不可抗力原因之外，承包人均应自费弥补，并达到合同要求。承包人还应对按第 19</w:t>
      </w:r>
      <w:r>
        <w:rPr>
          <w:spacing w:val="12"/>
          <w:sz w:val="24"/>
        </w:rPr>
        <w:t xml:space="preserve"> 条规定而实施作业的过程中由承包人造成的对工程的任何损失或损害负责。</w:t>
      </w:r>
    </w:p>
    <w:p>
      <w:pPr>
        <w:pStyle w:val="10"/>
        <w:numPr>
          <w:ilvl w:val="2"/>
          <w:numId w:val="51"/>
        </w:numPr>
        <w:tabs>
          <w:tab w:val="left" w:pos="1321"/>
        </w:tabs>
        <w:spacing w:before="0" w:after="0" w:line="304" w:lineRule="exact"/>
        <w:ind w:left="1320" w:right="0" w:hanging="781"/>
        <w:jc w:val="both"/>
        <w:rPr>
          <w:sz w:val="24"/>
        </w:rPr>
      </w:pPr>
      <w:r>
        <w:rPr>
          <w:sz w:val="24"/>
        </w:rPr>
        <w:t>其他义务本项细化为：</w:t>
      </w:r>
    </w:p>
    <w:p>
      <w:pPr>
        <w:pStyle w:val="10"/>
        <w:numPr>
          <w:ilvl w:val="0"/>
          <w:numId w:val="53"/>
        </w:numPr>
        <w:tabs>
          <w:tab w:val="left" w:pos="1142"/>
        </w:tabs>
        <w:spacing w:before="160" w:after="0" w:line="364" w:lineRule="auto"/>
        <w:ind w:left="540" w:right="639" w:firstLine="0"/>
        <w:jc w:val="left"/>
        <w:rPr>
          <w:sz w:val="24"/>
        </w:rPr>
      </w:pPr>
      <w:r>
        <w:rPr>
          <w:spacing w:val="-3"/>
          <w:sz w:val="24"/>
        </w:rPr>
        <w:t>临时占地由承包人向当地政府土地管理部门申请，并办理租用手续，承包人按有关</w:t>
      </w:r>
      <w:r>
        <w:rPr>
          <w:sz w:val="24"/>
        </w:rPr>
        <w:t>规定直接支付其费用，发包人对此将予以协调。</w:t>
      </w:r>
    </w:p>
    <w:p>
      <w:pPr>
        <w:spacing w:after="0" w:line="364" w:lineRule="auto"/>
        <w:jc w:val="left"/>
        <w:rPr>
          <w:sz w:val="24"/>
        </w:rPr>
        <w:sectPr>
          <w:footerReference r:id="rId12" w:type="default"/>
          <w:pgSz w:w="11910" w:h="16840"/>
          <w:pgMar w:top="1380" w:right="720" w:bottom="1080" w:left="820" w:header="746" w:footer="891" w:gutter="0"/>
          <w:pgNumType w:start="50"/>
          <w:cols w:space="720" w:num="1"/>
        </w:sectPr>
      </w:pPr>
    </w:p>
    <w:p>
      <w:pPr>
        <w:pStyle w:val="5"/>
        <w:spacing w:before="61" w:line="364" w:lineRule="auto"/>
        <w:ind w:right="639"/>
        <w:jc w:val="both"/>
      </w:pPr>
      <w:r>
        <w:t>临时占地范围包括承包人驻地的办公室、食堂、宿舍、道路和机械设备停放场、材料堆放场地、弃土场、预制场、拌合场、仓库、进场临时道路、临时便道、便桥等。承包人应在“临时占地计划表”范围内按实际需要与先后次序，提出具体计划报监理人同意， 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 100 章中由承包人按总额报价。</w:t>
      </w:r>
    </w:p>
    <w:p>
      <w:pPr>
        <w:pStyle w:val="5"/>
        <w:spacing w:line="364" w:lineRule="auto"/>
        <w:ind w:right="639"/>
        <w:jc w:val="both"/>
      </w:pPr>
      <w:r>
        <w:t>临时占地退还前，承包人应自费恢复到临时占地使用前的状态。如因承包人撤离后未按要求对临时占地进行恢复或虽进行了恢复但未达到使用标准的，将由发包人委托第三方对其恢复，所发生的费用将从应付给承包人的任何款项内扣除。</w:t>
      </w:r>
    </w:p>
    <w:p>
      <w:pPr>
        <w:pStyle w:val="10"/>
        <w:numPr>
          <w:ilvl w:val="0"/>
          <w:numId w:val="53"/>
        </w:numPr>
        <w:tabs>
          <w:tab w:val="left" w:pos="1142"/>
        </w:tabs>
        <w:spacing w:before="0" w:after="0" w:line="364" w:lineRule="auto"/>
        <w:ind w:left="540" w:right="584" w:firstLine="0"/>
        <w:jc w:val="both"/>
        <w:rPr>
          <w:sz w:val="24"/>
        </w:rPr>
      </w:pPr>
      <w:r>
        <w:rPr>
          <w:spacing w:val="-1"/>
          <w:sz w:val="24"/>
        </w:rPr>
        <w:t>除项目专用条款另有约定外，承包人应承担并支付为获得本合同工程所需的石料、</w:t>
      </w:r>
      <w:r>
        <w:rPr>
          <w:sz w:val="24"/>
        </w:rPr>
        <w:t>砂、砾石、黏土或其他当地材料等所发生的料场使用费及其他开支或补偿费。发包人应尽可能协助承包人办理料场租用手续及解决使用过程中的有关问题。</w:t>
      </w:r>
    </w:p>
    <w:p>
      <w:pPr>
        <w:pStyle w:val="10"/>
        <w:numPr>
          <w:ilvl w:val="0"/>
          <w:numId w:val="53"/>
        </w:numPr>
        <w:tabs>
          <w:tab w:val="left" w:pos="1142"/>
        </w:tabs>
        <w:spacing w:before="0" w:after="0" w:line="364" w:lineRule="auto"/>
        <w:ind w:left="540" w:right="639" w:firstLine="0"/>
        <w:jc w:val="both"/>
        <w:rPr>
          <w:sz w:val="24"/>
        </w:rPr>
      </w:pPr>
      <w:r>
        <w:rPr>
          <w:spacing w:val="-3"/>
          <w:sz w:val="24"/>
        </w:rPr>
        <w:t>承包人应严格遵守国家有关解决拖欠工程款和民工工资的法律、法规，及时支付工</w:t>
      </w:r>
      <w:r>
        <w:rPr>
          <w:sz w:val="24"/>
        </w:rPr>
        <w:t>程中的材料、设备贷款及民工工资等费用。承包人不得以任何借口拖欠材料、设备贷款及民工工资等费用，如果出现此种现象，发包人有权代为支付其拖欠的材料、设备贷款及民工工资，并从应付给承包人的工程款中扣除相应款项。对恶意拖欠和拒不按计划支付的，作为不良记录纳入公路建设市场信用信息管理系统。</w:t>
      </w:r>
    </w:p>
    <w:p>
      <w:pPr>
        <w:pStyle w:val="5"/>
        <w:spacing w:line="364" w:lineRule="auto"/>
        <w:ind w:right="639"/>
        <w:jc w:val="both"/>
      </w:pPr>
      <w:r>
        <w:t>承包人的项目经理部是民工工资支付行为的主体，承包人的项目经理是民工工资支付的责任人。项目经理部要建立全体民工花名册和工资支付表，确保将工资直接发放给民工本人，或委托银行发放民工工资，严禁发放给“包工头”或其他不具备用工主体资格的组织和个人。</w:t>
      </w:r>
    </w:p>
    <w:p>
      <w:pPr>
        <w:pStyle w:val="5"/>
        <w:spacing w:line="364" w:lineRule="auto"/>
        <w:ind w:right="639"/>
      </w:pPr>
      <w:r>
        <w:t>工资支付表应如实记录支付单位、支付时间、支付对象、支付数额、支付对象的身份证号和签字等信息。民工花名册和工资支付表应报监理人备查。</w:t>
      </w:r>
    </w:p>
    <w:p>
      <w:pPr>
        <w:pStyle w:val="10"/>
        <w:numPr>
          <w:ilvl w:val="0"/>
          <w:numId w:val="53"/>
        </w:numPr>
        <w:tabs>
          <w:tab w:val="left" w:pos="1142"/>
        </w:tabs>
        <w:spacing w:before="0" w:after="0" w:line="306" w:lineRule="exact"/>
        <w:ind w:left="1141" w:right="0" w:hanging="602"/>
        <w:jc w:val="left"/>
        <w:rPr>
          <w:sz w:val="24"/>
        </w:rPr>
      </w:pPr>
      <w:r>
        <w:rPr>
          <w:sz w:val="24"/>
        </w:rPr>
        <w:t>承包人应履行项目专用合同条款约定的其他义务。</w:t>
      </w:r>
    </w:p>
    <w:p>
      <w:pPr>
        <w:pStyle w:val="10"/>
        <w:numPr>
          <w:ilvl w:val="1"/>
          <w:numId w:val="54"/>
        </w:numPr>
        <w:tabs>
          <w:tab w:val="left" w:pos="961"/>
        </w:tabs>
        <w:spacing w:before="147" w:after="0" w:line="240" w:lineRule="auto"/>
        <w:ind w:left="960" w:right="0" w:hanging="421"/>
        <w:jc w:val="left"/>
        <w:rPr>
          <w:sz w:val="24"/>
        </w:rPr>
      </w:pPr>
      <w:r>
        <w:rPr>
          <w:sz w:val="24"/>
        </w:rPr>
        <w:t>分包</w:t>
      </w:r>
    </w:p>
    <w:p>
      <w:pPr>
        <w:pStyle w:val="5"/>
        <w:spacing w:before="160"/>
      </w:pPr>
      <w:r>
        <w:t>第 4.3.2 项～第 4.3.4 项细化为：</w:t>
      </w:r>
    </w:p>
    <w:p>
      <w:pPr>
        <w:pStyle w:val="10"/>
        <w:numPr>
          <w:ilvl w:val="2"/>
          <w:numId w:val="55"/>
        </w:numPr>
        <w:tabs>
          <w:tab w:val="left" w:pos="1201"/>
        </w:tabs>
        <w:spacing w:before="158" w:after="0" w:line="364" w:lineRule="auto"/>
        <w:ind w:left="540" w:right="639" w:firstLine="0"/>
        <w:jc w:val="left"/>
        <w:rPr>
          <w:sz w:val="24"/>
        </w:rPr>
      </w:pPr>
      <w:r>
        <w:rPr>
          <w:spacing w:val="-9"/>
          <w:sz w:val="24"/>
        </w:rPr>
        <w:t>承包人不得将工程主体、关键性工作分包给第三人。经发包人同意，承包人可将工</w:t>
      </w:r>
      <w:r>
        <w:rPr>
          <w:sz w:val="24"/>
        </w:rPr>
        <w:t>程的其他部分或工作分包给第三人。分包包括专业分包和劳务分包。</w:t>
      </w:r>
    </w:p>
    <w:p>
      <w:pPr>
        <w:pStyle w:val="10"/>
        <w:numPr>
          <w:ilvl w:val="2"/>
          <w:numId w:val="55"/>
        </w:numPr>
        <w:tabs>
          <w:tab w:val="left" w:pos="1201"/>
        </w:tabs>
        <w:spacing w:before="2" w:after="0" w:line="240" w:lineRule="auto"/>
        <w:ind w:left="1200" w:right="0" w:hanging="661"/>
        <w:jc w:val="left"/>
        <w:rPr>
          <w:sz w:val="24"/>
        </w:rPr>
      </w:pPr>
      <w:r>
        <w:rPr>
          <w:sz w:val="24"/>
        </w:rPr>
        <w:t>专业分包</w:t>
      </w:r>
    </w:p>
    <w:p>
      <w:pPr>
        <w:spacing w:after="0" w:line="240" w:lineRule="auto"/>
        <w:jc w:val="left"/>
        <w:rPr>
          <w:sz w:val="24"/>
        </w:rPr>
        <w:sectPr>
          <w:pgSz w:w="11910" w:h="16840"/>
          <w:pgMar w:top="1380" w:right="720" w:bottom="1080" w:left="820" w:header="746" w:footer="891" w:gutter="0"/>
          <w:cols w:space="720" w:num="1"/>
        </w:sectPr>
      </w:pPr>
    </w:p>
    <w:p>
      <w:pPr>
        <w:pStyle w:val="5"/>
        <w:spacing w:before="61"/>
      </w:pPr>
      <w:r>
        <w:t>在工程施工过程中，承包人进行专业分包必须遵守以下规定：</w:t>
      </w:r>
    </w:p>
    <w:p>
      <w:pPr>
        <w:pStyle w:val="10"/>
        <w:numPr>
          <w:ilvl w:val="0"/>
          <w:numId w:val="56"/>
        </w:numPr>
        <w:tabs>
          <w:tab w:val="left" w:pos="1142"/>
        </w:tabs>
        <w:spacing w:before="160" w:after="0" w:line="362" w:lineRule="auto"/>
        <w:ind w:left="540" w:right="519" w:firstLine="0"/>
        <w:jc w:val="left"/>
        <w:rPr>
          <w:sz w:val="24"/>
        </w:rPr>
      </w:pPr>
      <w:r>
        <w:rPr>
          <w:spacing w:val="-4"/>
          <w:sz w:val="24"/>
        </w:rPr>
        <w:t xml:space="preserve">允许专业分包的工程范围仅限于分部工程或分项工程、适合专业化队伍施工的工程，专业分包的工程量累计不得超过总工程量的 </w:t>
      </w:r>
      <w:r>
        <w:rPr>
          <w:sz w:val="24"/>
        </w:rPr>
        <w:t>30%。</w:t>
      </w:r>
    </w:p>
    <w:p>
      <w:pPr>
        <w:pStyle w:val="10"/>
        <w:numPr>
          <w:ilvl w:val="0"/>
          <w:numId w:val="56"/>
        </w:numPr>
        <w:tabs>
          <w:tab w:val="left" w:pos="1142"/>
        </w:tabs>
        <w:spacing w:before="5" w:after="0" w:line="362" w:lineRule="auto"/>
        <w:ind w:left="540" w:right="1304" w:firstLine="0"/>
        <w:jc w:val="left"/>
        <w:rPr>
          <w:sz w:val="24"/>
        </w:rPr>
      </w:pPr>
      <w:r>
        <w:rPr>
          <w:sz w:val="24"/>
        </w:rPr>
        <w:t>专业分包人的资格能力（含安全生产能力）</w:t>
      </w:r>
      <w:r>
        <w:rPr>
          <w:spacing w:val="-2"/>
          <w:sz w:val="24"/>
        </w:rPr>
        <w:t>应与其分包工程的标准和规模相</w:t>
      </w:r>
      <w:r>
        <w:rPr>
          <w:sz w:val="24"/>
        </w:rPr>
        <w:t>适应，具备相应的专业承包资质。</w:t>
      </w:r>
    </w:p>
    <w:p>
      <w:pPr>
        <w:pStyle w:val="10"/>
        <w:numPr>
          <w:ilvl w:val="0"/>
          <w:numId w:val="56"/>
        </w:numPr>
        <w:tabs>
          <w:tab w:val="left" w:pos="1142"/>
        </w:tabs>
        <w:spacing w:before="5" w:after="0" w:line="240" w:lineRule="auto"/>
        <w:ind w:left="1141" w:right="0" w:hanging="602"/>
        <w:jc w:val="left"/>
        <w:rPr>
          <w:sz w:val="24"/>
        </w:rPr>
      </w:pPr>
      <w:r>
        <w:rPr>
          <w:sz w:val="24"/>
        </w:rPr>
        <w:t>专业分工程不得再次分包。</w:t>
      </w:r>
    </w:p>
    <w:p>
      <w:pPr>
        <w:pStyle w:val="10"/>
        <w:numPr>
          <w:ilvl w:val="0"/>
          <w:numId w:val="56"/>
        </w:numPr>
        <w:tabs>
          <w:tab w:val="left" w:pos="1142"/>
        </w:tabs>
        <w:spacing w:before="158" w:after="0" w:line="364" w:lineRule="auto"/>
        <w:ind w:left="540" w:right="639" w:firstLine="0"/>
        <w:jc w:val="both"/>
        <w:rPr>
          <w:sz w:val="24"/>
        </w:rPr>
      </w:pPr>
      <w:r>
        <w:rPr>
          <w:spacing w:val="-3"/>
          <w:sz w:val="24"/>
        </w:rPr>
        <w:t>承包人和专业分包人应当依法签订专业分包合同，并按照合同履行约定的义务。专</w:t>
      </w:r>
      <w:r>
        <w:rPr>
          <w:sz w:val="24"/>
        </w:rPr>
        <w:t>业分包合同必须明确约定工程款支付条款、结算方式以及保证按期支付的相应措施，确保工程款的支付。</w:t>
      </w:r>
    </w:p>
    <w:p>
      <w:pPr>
        <w:pStyle w:val="10"/>
        <w:numPr>
          <w:ilvl w:val="0"/>
          <w:numId w:val="56"/>
        </w:numPr>
        <w:tabs>
          <w:tab w:val="left" w:pos="1146"/>
        </w:tabs>
        <w:spacing w:before="0" w:after="0" w:line="364" w:lineRule="auto"/>
        <w:ind w:left="540" w:right="639" w:firstLine="0"/>
        <w:jc w:val="both"/>
        <w:rPr>
          <w:sz w:val="24"/>
        </w:rPr>
      </w:pPr>
      <w:r>
        <w:rPr>
          <w:sz w:val="24"/>
        </w:rPr>
        <w:t>承包人对施工现场安全负总责，并对专业分包人的安全生产进行培训和管 理。专业分包人应将其专业分包工程的施工组织设计和施工安全方案报承包人备案。专业分包人对分包施工现场安全负责，发现事故隐患，应及时处理。</w:t>
      </w:r>
    </w:p>
    <w:p>
      <w:pPr>
        <w:pStyle w:val="10"/>
        <w:numPr>
          <w:ilvl w:val="0"/>
          <w:numId w:val="56"/>
        </w:numPr>
        <w:tabs>
          <w:tab w:val="left" w:pos="1142"/>
        </w:tabs>
        <w:spacing w:before="0" w:after="0" w:line="362" w:lineRule="auto"/>
        <w:ind w:left="540" w:right="639" w:firstLine="0"/>
        <w:jc w:val="left"/>
        <w:rPr>
          <w:sz w:val="24"/>
        </w:rPr>
      </w:pPr>
      <w:r>
        <w:rPr>
          <w:spacing w:val="-3"/>
          <w:sz w:val="24"/>
        </w:rPr>
        <w:t>所有专业分包计划和专业分包合同须报监理人审批，并报发包人核备。监理人审批</w:t>
      </w:r>
      <w:r>
        <w:rPr>
          <w:sz w:val="24"/>
        </w:rPr>
        <w:t>专业分包并不解除合同规定的承包人的任何责任或义务。</w:t>
      </w:r>
    </w:p>
    <w:p>
      <w:pPr>
        <w:pStyle w:val="10"/>
        <w:numPr>
          <w:ilvl w:val="2"/>
          <w:numId w:val="55"/>
        </w:numPr>
        <w:tabs>
          <w:tab w:val="left" w:pos="1201"/>
        </w:tabs>
        <w:spacing w:before="4" w:after="0" w:line="240" w:lineRule="auto"/>
        <w:ind w:left="1200" w:right="0" w:hanging="661"/>
        <w:jc w:val="left"/>
        <w:rPr>
          <w:sz w:val="24"/>
        </w:rPr>
      </w:pPr>
      <w:r>
        <w:rPr>
          <w:sz w:val="24"/>
        </w:rPr>
        <w:t>劳务分包</w:t>
      </w:r>
    </w:p>
    <w:p>
      <w:pPr>
        <w:pStyle w:val="5"/>
        <w:spacing w:before="158"/>
      </w:pPr>
      <w:r>
        <w:t>在工程施工过程中，承包人进行劳务分包必须遵守以下规定：</w:t>
      </w:r>
    </w:p>
    <w:p>
      <w:pPr>
        <w:pStyle w:val="10"/>
        <w:numPr>
          <w:ilvl w:val="0"/>
          <w:numId w:val="57"/>
        </w:numPr>
        <w:tabs>
          <w:tab w:val="left" w:pos="1142"/>
        </w:tabs>
        <w:spacing w:before="160" w:after="0" w:line="240" w:lineRule="auto"/>
        <w:ind w:left="1141" w:right="0" w:hanging="602"/>
        <w:jc w:val="left"/>
        <w:rPr>
          <w:sz w:val="24"/>
        </w:rPr>
      </w:pPr>
      <w:r>
        <w:rPr>
          <w:sz w:val="24"/>
        </w:rPr>
        <w:t>劳务分包人应具有劳务分包资质。</w:t>
      </w:r>
    </w:p>
    <w:p>
      <w:pPr>
        <w:pStyle w:val="10"/>
        <w:numPr>
          <w:ilvl w:val="0"/>
          <w:numId w:val="57"/>
        </w:numPr>
        <w:tabs>
          <w:tab w:val="left" w:pos="1142"/>
        </w:tabs>
        <w:spacing w:before="158" w:after="0" w:line="364" w:lineRule="auto"/>
        <w:ind w:left="540" w:right="639" w:firstLine="0"/>
        <w:jc w:val="both"/>
        <w:rPr>
          <w:sz w:val="24"/>
        </w:rPr>
      </w:pPr>
      <w:r>
        <w:rPr>
          <w:spacing w:val="-2"/>
          <w:sz w:val="24"/>
        </w:rPr>
        <w:t>劳务分包应当依法签订劳务分包合同，劳务分包合同必须由承包人的法定代表人</w:t>
      </w:r>
      <w:r>
        <w:rPr>
          <w:spacing w:val="-4"/>
          <w:sz w:val="24"/>
        </w:rPr>
        <w:t>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pPr>
        <w:pStyle w:val="10"/>
        <w:numPr>
          <w:ilvl w:val="0"/>
          <w:numId w:val="57"/>
        </w:numPr>
        <w:tabs>
          <w:tab w:val="left" w:pos="1146"/>
        </w:tabs>
        <w:spacing w:before="0" w:after="0" w:line="364" w:lineRule="auto"/>
        <w:ind w:left="540" w:right="639" w:firstLine="0"/>
        <w:jc w:val="both"/>
        <w:rPr>
          <w:sz w:val="24"/>
        </w:rPr>
      </w:pPr>
      <w:r>
        <w:rPr>
          <w:sz w:val="24"/>
        </w:rPr>
        <w:t>承包人雇用的劳务作业应加入到承包人的施工班组统一管理。有关施工质 量、施工安全、施工进度、环境保护、技术方案、试验检测、材料保管与供应、机械设备等都必须由承包人管理与调配，不得以包代管。</w:t>
      </w:r>
    </w:p>
    <w:p>
      <w:pPr>
        <w:pStyle w:val="10"/>
        <w:numPr>
          <w:ilvl w:val="0"/>
          <w:numId w:val="57"/>
        </w:numPr>
        <w:tabs>
          <w:tab w:val="left" w:pos="1142"/>
        </w:tabs>
        <w:spacing w:before="0" w:after="0" w:line="362" w:lineRule="auto"/>
        <w:ind w:left="540" w:right="639" w:firstLine="0"/>
        <w:jc w:val="left"/>
        <w:rPr>
          <w:sz w:val="24"/>
        </w:rPr>
      </w:pPr>
      <w:r>
        <w:rPr>
          <w:spacing w:val="-2"/>
          <w:sz w:val="24"/>
        </w:rPr>
        <w:t>承包人应当对劳务分包人员进行安全培训和管理，劳务分包人不得将其分包的劳</w:t>
      </w:r>
      <w:r>
        <w:rPr>
          <w:spacing w:val="-4"/>
          <w:sz w:val="24"/>
        </w:rPr>
        <w:t>务作业再次分包。</w:t>
      </w:r>
    </w:p>
    <w:p>
      <w:pPr>
        <w:pStyle w:val="5"/>
        <w:spacing w:before="2"/>
      </w:pPr>
      <w:r>
        <w:t>违反上述规定之一者属违规分包。本款补充第 4.3.6 项：</w:t>
      </w:r>
    </w:p>
    <w:p>
      <w:pPr>
        <w:pStyle w:val="5"/>
        <w:spacing w:before="159"/>
      </w:pPr>
      <w:r>
        <w:t>4.3.6 发包人对承包人与分包人之间的法律与经济纠纷不承担任何责任和义务。</w:t>
      </w:r>
    </w:p>
    <w:p>
      <w:pPr>
        <w:pStyle w:val="10"/>
        <w:numPr>
          <w:ilvl w:val="1"/>
          <w:numId w:val="54"/>
        </w:numPr>
        <w:tabs>
          <w:tab w:val="left" w:pos="961"/>
        </w:tabs>
        <w:spacing w:before="160" w:after="0" w:line="240" w:lineRule="auto"/>
        <w:ind w:left="960" w:right="0" w:hanging="421"/>
        <w:jc w:val="left"/>
        <w:rPr>
          <w:sz w:val="24"/>
        </w:rPr>
      </w:pPr>
      <w:r>
        <w:rPr>
          <w:sz w:val="24"/>
        </w:rPr>
        <w:t>联合体 本款增加第 4.4.4 项：</w:t>
      </w:r>
    </w:p>
    <w:p>
      <w:pPr>
        <w:pStyle w:val="5"/>
        <w:spacing w:before="161"/>
      </w:pPr>
      <w:r>
        <w:t>4.4.4 未经发包人事先同意，联合体的组成与结构不得变动。</w:t>
      </w:r>
    </w:p>
    <w:p>
      <w:pPr>
        <w:spacing w:after="0"/>
        <w:sectPr>
          <w:pgSz w:w="11910" w:h="16840"/>
          <w:pgMar w:top="1380" w:right="720" w:bottom="1080" w:left="820" w:header="746" w:footer="891" w:gutter="0"/>
          <w:cols w:space="720" w:num="1"/>
        </w:sectPr>
      </w:pPr>
    </w:p>
    <w:p>
      <w:pPr>
        <w:pStyle w:val="10"/>
        <w:numPr>
          <w:ilvl w:val="1"/>
          <w:numId w:val="58"/>
        </w:numPr>
        <w:tabs>
          <w:tab w:val="left" w:pos="961"/>
        </w:tabs>
        <w:spacing w:before="61" w:after="0" w:line="240" w:lineRule="auto"/>
        <w:ind w:left="960" w:right="0" w:hanging="421"/>
        <w:jc w:val="both"/>
        <w:rPr>
          <w:sz w:val="24"/>
        </w:rPr>
      </w:pPr>
      <w:r>
        <w:rPr>
          <w:sz w:val="24"/>
        </w:rPr>
        <w:t>承包人人员的管理 第 4.6.3 项细化为：</w:t>
      </w:r>
    </w:p>
    <w:p>
      <w:pPr>
        <w:pStyle w:val="5"/>
        <w:spacing w:before="160" w:line="364" w:lineRule="auto"/>
        <w:ind w:right="639"/>
        <w:jc w:val="both"/>
      </w:pPr>
      <w:r>
        <w:rPr>
          <w:spacing w:val="-3"/>
        </w:rPr>
        <w:t>承包人安排在施工场地的主要管理人员和技术骨干应与承包人承诺的名单一致， 并保持</w:t>
      </w:r>
      <w:r>
        <w:t>相对稳定。未经监理人批准，上述人员不应无故不到位或被替换；若确实无法到位或需替换，需经监理人审核并报发包人批准后，用同等资质和经历的人员替换。</w:t>
      </w:r>
    </w:p>
    <w:p>
      <w:pPr>
        <w:pStyle w:val="5"/>
        <w:spacing w:line="304" w:lineRule="exact"/>
        <w:jc w:val="both"/>
      </w:pPr>
      <w:r>
        <w:t>本款补充第 4.6.5 项：</w:t>
      </w:r>
    </w:p>
    <w:p>
      <w:pPr>
        <w:pStyle w:val="5"/>
        <w:spacing w:before="161" w:line="364" w:lineRule="auto"/>
        <w:ind w:right="639"/>
        <w:jc w:val="both"/>
      </w:pPr>
      <w: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次增加的费用和（或）工期延误由承包人承担。</w:t>
      </w:r>
    </w:p>
    <w:p>
      <w:pPr>
        <w:pStyle w:val="10"/>
        <w:numPr>
          <w:ilvl w:val="1"/>
          <w:numId w:val="58"/>
        </w:numPr>
        <w:tabs>
          <w:tab w:val="left" w:pos="961"/>
        </w:tabs>
        <w:spacing w:before="0" w:after="0" w:line="305" w:lineRule="exact"/>
        <w:ind w:left="960" w:right="0" w:hanging="421"/>
        <w:jc w:val="both"/>
        <w:rPr>
          <w:sz w:val="24"/>
        </w:rPr>
      </w:pPr>
      <w:r>
        <w:rPr>
          <w:sz w:val="24"/>
        </w:rPr>
        <w:t>撤换承包人项目经理和其他人员本款细化为：</w:t>
      </w:r>
    </w:p>
    <w:p>
      <w:pPr>
        <w:pStyle w:val="5"/>
        <w:spacing w:before="158" w:line="364" w:lineRule="auto"/>
        <w:ind w:right="639"/>
        <w:jc w:val="both"/>
      </w:pPr>
      <w: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pPr>
        <w:pStyle w:val="10"/>
        <w:numPr>
          <w:ilvl w:val="1"/>
          <w:numId w:val="59"/>
        </w:numPr>
        <w:tabs>
          <w:tab w:val="left" w:pos="961"/>
        </w:tabs>
        <w:spacing w:before="0" w:after="0" w:line="307" w:lineRule="exact"/>
        <w:ind w:left="960" w:right="0" w:hanging="421"/>
        <w:jc w:val="both"/>
        <w:rPr>
          <w:sz w:val="24"/>
        </w:rPr>
      </w:pPr>
      <w:r>
        <w:rPr>
          <w:sz w:val="24"/>
        </w:rPr>
        <w:t>工程价款应专款专用本款细化为：</w:t>
      </w:r>
    </w:p>
    <w:p>
      <w:pPr>
        <w:pStyle w:val="5"/>
        <w:spacing w:before="160" w:line="364" w:lineRule="auto"/>
        <w:ind w:right="639"/>
        <w:jc w:val="both"/>
      </w:pPr>
      <w: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 直至承包人改正为止。</w:t>
      </w:r>
    </w:p>
    <w:p>
      <w:pPr>
        <w:pStyle w:val="10"/>
        <w:numPr>
          <w:ilvl w:val="1"/>
          <w:numId w:val="59"/>
        </w:numPr>
        <w:tabs>
          <w:tab w:val="left" w:pos="1081"/>
        </w:tabs>
        <w:spacing w:before="0" w:after="0" w:line="364" w:lineRule="auto"/>
        <w:ind w:left="540" w:right="7424" w:firstLine="0"/>
        <w:jc w:val="left"/>
        <w:rPr>
          <w:sz w:val="24"/>
        </w:rPr>
      </w:pPr>
      <w:r>
        <w:rPr>
          <w:sz w:val="24"/>
        </w:rPr>
        <w:t>承包人现场查勘第 4.10.1</w:t>
      </w:r>
      <w:r>
        <w:rPr>
          <w:spacing w:val="-3"/>
          <w:sz w:val="24"/>
        </w:rPr>
        <w:t xml:space="preserve"> 项细化为：</w:t>
      </w:r>
    </w:p>
    <w:p>
      <w:pPr>
        <w:pStyle w:val="5"/>
      </w:pPr>
      <w:r>
        <w:t>发包人提供的本合同工程的水文、地质、气象和料场分布、取土场、弃土场位置</w:t>
      </w:r>
    </w:p>
    <w:p>
      <w:pPr>
        <w:pStyle w:val="5"/>
        <w:ind w:left="0"/>
      </w:pPr>
    </w:p>
    <w:p>
      <w:pPr>
        <w:pStyle w:val="5"/>
        <w:ind w:left="0"/>
      </w:pPr>
    </w:p>
    <w:p>
      <w:pPr>
        <w:pStyle w:val="5"/>
        <w:ind w:left="0"/>
      </w:pPr>
    </w:p>
    <w:p>
      <w:pPr>
        <w:pStyle w:val="5"/>
        <w:spacing w:before="165" w:line="362" w:lineRule="auto"/>
        <w:ind w:right="639"/>
      </w:pPr>
      <w:r>
        <w:t>等资料均属于参考资料，并不构成合同文件的组成部分，承包人应对自己就上述资料的解释、推论和应用负责，发包人不对承包人据此做出的判断和决策承担任何责任。</w:t>
      </w:r>
    </w:p>
    <w:p>
      <w:pPr>
        <w:pStyle w:val="10"/>
        <w:numPr>
          <w:ilvl w:val="1"/>
          <w:numId w:val="59"/>
        </w:numPr>
        <w:tabs>
          <w:tab w:val="left" w:pos="1081"/>
        </w:tabs>
        <w:spacing w:before="5" w:after="0" w:line="240" w:lineRule="auto"/>
        <w:ind w:left="1080" w:right="0" w:hanging="541"/>
        <w:jc w:val="left"/>
        <w:rPr>
          <w:sz w:val="24"/>
        </w:rPr>
      </w:pPr>
      <w:r>
        <w:rPr>
          <w:sz w:val="24"/>
        </w:rPr>
        <w:t>不利物质条件</w:t>
      </w:r>
    </w:p>
    <w:p>
      <w:pPr>
        <w:pStyle w:val="5"/>
        <w:spacing w:before="161"/>
      </w:pPr>
      <w:r>
        <w:t>第 4.11.2 项细化为：</w:t>
      </w:r>
    </w:p>
    <w:p>
      <w:pPr>
        <w:spacing w:after="0"/>
        <w:sectPr>
          <w:pgSz w:w="11910" w:h="16840"/>
          <w:pgMar w:top="1380" w:right="720" w:bottom="1080" w:left="820" w:header="746" w:footer="891" w:gutter="0"/>
          <w:cols w:space="720" w:num="1"/>
        </w:sectPr>
      </w:pPr>
    </w:p>
    <w:p>
      <w:pPr>
        <w:pStyle w:val="10"/>
        <w:numPr>
          <w:ilvl w:val="2"/>
          <w:numId w:val="60"/>
        </w:numPr>
        <w:tabs>
          <w:tab w:val="left" w:pos="1321"/>
        </w:tabs>
        <w:spacing w:before="61" w:after="0" w:line="364" w:lineRule="auto"/>
        <w:ind w:left="540" w:right="639" w:firstLine="0"/>
        <w:jc w:val="both"/>
        <w:rPr>
          <w:sz w:val="24"/>
        </w:rPr>
      </w:pPr>
      <w:r>
        <w:rPr>
          <w:spacing w:val="-1"/>
          <w:sz w:val="24"/>
        </w:rPr>
        <w:t>承包人遇到不可预见的不利物质条件时，应采取适应不利物质条件的合理措施继</w:t>
      </w:r>
      <w:r>
        <w:rPr>
          <w:sz w:val="24"/>
        </w:rPr>
        <w:t>续施工，并及时通知监理人。监理人应当及时发出指示，指示构成变更的，按第 15</w:t>
      </w:r>
      <w:r>
        <w:rPr>
          <w:spacing w:val="12"/>
          <w:sz w:val="24"/>
        </w:rPr>
        <w:t xml:space="preserve"> 条约定办理。监理人没有发出指示的，承包人因采取合理措施而增加的费用和</w:t>
      </w:r>
    </w:p>
    <w:p>
      <w:pPr>
        <w:pStyle w:val="5"/>
        <w:spacing w:line="307" w:lineRule="exact"/>
        <w:jc w:val="both"/>
      </w:pPr>
      <w:r>
        <w:t>（或）工期延误，由发包人承担。本款补充第 4.11.3 项：</w:t>
      </w:r>
    </w:p>
    <w:p>
      <w:pPr>
        <w:pStyle w:val="10"/>
        <w:numPr>
          <w:ilvl w:val="2"/>
          <w:numId w:val="60"/>
        </w:numPr>
        <w:tabs>
          <w:tab w:val="left" w:pos="1321"/>
        </w:tabs>
        <w:spacing w:before="158" w:after="0" w:line="240" w:lineRule="auto"/>
        <w:ind w:left="1320" w:right="0" w:hanging="781"/>
        <w:jc w:val="both"/>
        <w:rPr>
          <w:sz w:val="24"/>
        </w:rPr>
      </w:pPr>
      <w:r>
        <w:rPr>
          <w:sz w:val="24"/>
        </w:rPr>
        <w:t>可预见的不利物质条件</w:t>
      </w:r>
    </w:p>
    <w:p>
      <w:pPr>
        <w:pStyle w:val="10"/>
        <w:numPr>
          <w:ilvl w:val="0"/>
          <w:numId w:val="61"/>
        </w:numPr>
        <w:tabs>
          <w:tab w:val="left" w:pos="1142"/>
        </w:tabs>
        <w:spacing w:before="160" w:after="0" w:line="364" w:lineRule="auto"/>
        <w:ind w:left="540" w:right="639" w:firstLine="0"/>
        <w:jc w:val="both"/>
        <w:rPr>
          <w:sz w:val="24"/>
        </w:rPr>
      </w:pPr>
      <w:r>
        <w:rPr>
          <w:sz w:val="24"/>
        </w:rPr>
        <w:t>对于项目专用合同条款中已经明确指出的不利物质条件无论承包人是否有其经历</w:t>
      </w:r>
      <w:r>
        <w:rPr>
          <w:spacing w:val="-4"/>
          <w:sz w:val="24"/>
        </w:rPr>
        <w:t>和经验均视为承包人在接受合同时已预见其影响，并已在签约合同价中计入因其影响而可能发生的一切费用。</w:t>
      </w:r>
    </w:p>
    <w:p>
      <w:pPr>
        <w:pStyle w:val="10"/>
        <w:numPr>
          <w:ilvl w:val="0"/>
          <w:numId w:val="61"/>
        </w:numPr>
        <w:tabs>
          <w:tab w:val="left" w:pos="1142"/>
        </w:tabs>
        <w:spacing w:before="0" w:after="0" w:line="362" w:lineRule="auto"/>
        <w:ind w:left="540" w:right="639" w:firstLine="0"/>
        <w:jc w:val="both"/>
        <w:rPr>
          <w:sz w:val="24"/>
        </w:rPr>
      </w:pPr>
      <w:r>
        <w:rPr>
          <w:spacing w:val="-4"/>
          <w:sz w:val="24"/>
        </w:rPr>
        <w:t>对于项目专用合同条款未明确指出，但是在不利物质条件发生之前，监理人已经指</w:t>
      </w:r>
      <w:r>
        <w:rPr>
          <w:sz w:val="24"/>
        </w:rPr>
        <w:t>示承包人有可能发生，但承包人未能及时采取有效措施，而导致的损失和后果均由承包人承担。</w:t>
      </w:r>
    </w:p>
    <w:p>
      <w:pPr>
        <w:pStyle w:val="5"/>
        <w:spacing w:before="6"/>
        <w:jc w:val="both"/>
      </w:pPr>
      <w:r>
        <w:t>补充第 4.12 款：</w:t>
      </w:r>
    </w:p>
    <w:p>
      <w:pPr>
        <w:pStyle w:val="10"/>
        <w:numPr>
          <w:ilvl w:val="1"/>
          <w:numId w:val="59"/>
        </w:numPr>
        <w:tabs>
          <w:tab w:val="left" w:pos="1081"/>
        </w:tabs>
        <w:spacing w:before="160" w:after="0" w:line="240" w:lineRule="auto"/>
        <w:ind w:left="1080" w:right="0" w:hanging="541"/>
        <w:jc w:val="both"/>
        <w:rPr>
          <w:sz w:val="24"/>
        </w:rPr>
      </w:pPr>
      <w:r>
        <w:rPr>
          <w:sz w:val="24"/>
        </w:rPr>
        <w:t>投标文件的完备性</w:t>
      </w:r>
    </w:p>
    <w:p>
      <w:pPr>
        <w:pStyle w:val="5"/>
        <w:spacing w:before="158" w:line="364" w:lineRule="auto"/>
        <w:ind w:right="639"/>
        <w:jc w:val="both"/>
      </w:pPr>
      <w:r>
        <w:t>合同双方一致认为，承包人在递交投标文件前，对本合同工程的投标文件和已标价工程量清单中开列的单价和总额价已查明正确的和完备的。投标的单价和总额价应已包括了合同中规定的承包人的全部义务（包括提供货物、材料、设备、服务的义务，并包括了暂列金额和暂估价范围内的额外工作的义务）以及为实施和完成本合同工程和其缺陷修复所必需的一切工作和条件。</w:t>
      </w:r>
    </w:p>
    <w:p>
      <w:pPr>
        <w:pStyle w:val="10"/>
        <w:numPr>
          <w:ilvl w:val="0"/>
          <w:numId w:val="44"/>
        </w:numPr>
        <w:tabs>
          <w:tab w:val="left" w:pos="782"/>
        </w:tabs>
        <w:spacing w:before="0" w:after="0" w:line="306" w:lineRule="exact"/>
        <w:ind w:left="781" w:right="0" w:hanging="242"/>
        <w:jc w:val="left"/>
        <w:rPr>
          <w:sz w:val="24"/>
        </w:rPr>
      </w:pPr>
      <w:r>
        <w:rPr>
          <w:sz w:val="24"/>
        </w:rPr>
        <w:t>材料和工程设备</w:t>
      </w:r>
    </w:p>
    <w:p>
      <w:pPr>
        <w:pStyle w:val="5"/>
        <w:spacing w:before="158" w:line="364" w:lineRule="auto"/>
        <w:ind w:right="6224"/>
      </w:pPr>
      <w:r>
        <w:t>5.2</w:t>
      </w:r>
      <w:r>
        <w:rPr>
          <w:spacing w:val="-2"/>
        </w:rPr>
        <w:t xml:space="preserve"> 发包人提供的材料和工程设备</w:t>
      </w:r>
      <w:r>
        <w:t>第 5.2.3 项补充：</w:t>
      </w:r>
    </w:p>
    <w:p>
      <w:pPr>
        <w:pStyle w:val="5"/>
        <w:spacing w:line="364" w:lineRule="auto"/>
        <w:ind w:right="519"/>
      </w:pPr>
      <w:r>
        <w:t>承包人负责接收并按规定对材料进行抽样检验和对工程设备进行检验测试，若发现材料</w:t>
      </w:r>
      <w:r>
        <w:rPr>
          <w:spacing w:val="-6"/>
        </w:rPr>
        <w:t>和工程设备存在缺陷，承包人应及时通知监理人，发包人应及时改正通知中指出的缺陷。</w:t>
      </w:r>
      <w:r>
        <w:t>承包人负责接收后的运输和保管，因承包人的原因发生丢失、损坏或进度拖延，由承包人承担相应责任。</w:t>
      </w:r>
    </w:p>
    <w:p>
      <w:pPr>
        <w:pStyle w:val="10"/>
        <w:numPr>
          <w:ilvl w:val="0"/>
          <w:numId w:val="44"/>
        </w:numPr>
        <w:tabs>
          <w:tab w:val="left" w:pos="782"/>
        </w:tabs>
        <w:spacing w:before="0" w:after="0" w:line="305" w:lineRule="exact"/>
        <w:ind w:left="781" w:right="0" w:hanging="242"/>
        <w:jc w:val="left"/>
        <w:rPr>
          <w:sz w:val="24"/>
        </w:rPr>
      </w:pPr>
      <w:r>
        <w:rPr>
          <w:sz w:val="24"/>
        </w:rPr>
        <w:t>施工设备和临时设施</w:t>
      </w:r>
    </w:p>
    <w:p>
      <w:pPr>
        <w:pStyle w:val="10"/>
        <w:numPr>
          <w:ilvl w:val="1"/>
          <w:numId w:val="62"/>
        </w:numPr>
        <w:tabs>
          <w:tab w:val="left" w:pos="961"/>
        </w:tabs>
        <w:spacing w:before="160" w:after="0" w:line="240" w:lineRule="auto"/>
        <w:ind w:left="960" w:right="0" w:hanging="421"/>
        <w:jc w:val="left"/>
        <w:rPr>
          <w:sz w:val="24"/>
        </w:rPr>
      </w:pPr>
      <w:r>
        <w:rPr>
          <w:sz w:val="24"/>
        </w:rPr>
        <w:t>承包人提供的施工设备和临时设施第 6.1.2 项约定为：</w:t>
      </w:r>
    </w:p>
    <w:p>
      <w:pPr>
        <w:pStyle w:val="5"/>
        <w:spacing w:before="158"/>
        <w:jc w:val="both"/>
      </w:pPr>
      <w:r>
        <w:t>承包人应自行承担修建临时设施的费用，需要临时占地的， 应由承包人按第</w:t>
      </w:r>
    </w:p>
    <w:p>
      <w:pPr>
        <w:pStyle w:val="5"/>
        <w:spacing w:before="160"/>
      </w:pPr>
      <w:r>
        <w:t>4.1.10 项（1）目的规定办理。</w:t>
      </w:r>
    </w:p>
    <w:p>
      <w:pPr>
        <w:pStyle w:val="10"/>
        <w:numPr>
          <w:ilvl w:val="1"/>
          <w:numId w:val="62"/>
        </w:numPr>
        <w:tabs>
          <w:tab w:val="left" w:pos="961"/>
        </w:tabs>
        <w:spacing w:before="161" w:after="0" w:line="240" w:lineRule="auto"/>
        <w:ind w:left="960" w:right="0" w:hanging="421"/>
        <w:jc w:val="left"/>
        <w:rPr>
          <w:sz w:val="24"/>
        </w:rPr>
      </w:pPr>
      <w:r>
        <w:rPr>
          <w:sz w:val="24"/>
        </w:rPr>
        <w:t>要求承包人增加或更换施工设备本款细化为：</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pPr>
      <w:r>
        <w:t>承包人承诺的施工设备必须按时达到现场，不得拖延、缺短或任意更换。尽管承包人已按承诺提供了上述设备，但若承包人使用的施工设备不能满足合同进度计划和</w:t>
      </w:r>
    </w:p>
    <w:p>
      <w:pPr>
        <w:pStyle w:val="5"/>
        <w:spacing w:line="364" w:lineRule="auto"/>
        <w:ind w:right="639"/>
      </w:pPr>
      <w:r>
        <w:t>（或）质量要求时，监理人有权要求承包人增加或更换施工设备，承包人应及时增加或更换，由此增加的费用和（或）工期延误由承包人承担。</w:t>
      </w:r>
    </w:p>
    <w:p>
      <w:pPr>
        <w:pStyle w:val="10"/>
        <w:numPr>
          <w:ilvl w:val="0"/>
          <w:numId w:val="44"/>
        </w:numPr>
        <w:tabs>
          <w:tab w:val="left" w:pos="782"/>
        </w:tabs>
        <w:spacing w:before="0" w:after="0" w:line="306" w:lineRule="exact"/>
        <w:ind w:left="781" w:right="0" w:hanging="242"/>
        <w:jc w:val="left"/>
        <w:rPr>
          <w:sz w:val="24"/>
        </w:rPr>
      </w:pPr>
      <w:r>
        <w:rPr>
          <w:sz w:val="24"/>
        </w:rPr>
        <w:t>交通运输</w:t>
      </w:r>
    </w:p>
    <w:p>
      <w:pPr>
        <w:pStyle w:val="10"/>
        <w:numPr>
          <w:ilvl w:val="1"/>
          <w:numId w:val="44"/>
        </w:numPr>
        <w:tabs>
          <w:tab w:val="left" w:pos="961"/>
        </w:tabs>
        <w:spacing w:before="159" w:after="0" w:line="240" w:lineRule="auto"/>
        <w:ind w:left="960" w:right="0" w:hanging="421"/>
        <w:jc w:val="both"/>
        <w:rPr>
          <w:sz w:val="24"/>
        </w:rPr>
      </w:pPr>
      <w:r>
        <w:rPr>
          <w:sz w:val="24"/>
        </w:rPr>
        <w:t>道路通行权和场外设施本款约定为：</w:t>
      </w:r>
    </w:p>
    <w:p>
      <w:pPr>
        <w:pStyle w:val="5"/>
        <w:spacing w:before="158" w:line="364" w:lineRule="auto"/>
        <w:ind w:right="639"/>
        <w:jc w:val="both"/>
      </w:pPr>
      <w:r>
        <w:t>承包人应根据合同工程的施工需要，负责办理取得出入施工场地的专用和临时道路的通行权，以及取得为工程建设所需修建场外设施的权利，并承担有权费用。需要发包人协调时，发包人应协助承包人办理相关手续。</w:t>
      </w:r>
    </w:p>
    <w:p>
      <w:pPr>
        <w:pStyle w:val="10"/>
        <w:numPr>
          <w:ilvl w:val="0"/>
          <w:numId w:val="44"/>
        </w:numPr>
        <w:tabs>
          <w:tab w:val="left" w:pos="782"/>
        </w:tabs>
        <w:spacing w:before="0" w:after="0" w:line="307" w:lineRule="exact"/>
        <w:ind w:left="781" w:right="0" w:hanging="242"/>
        <w:jc w:val="left"/>
        <w:rPr>
          <w:sz w:val="24"/>
        </w:rPr>
      </w:pPr>
      <w:r>
        <w:rPr>
          <w:sz w:val="24"/>
        </w:rPr>
        <w:t>测量放线</w:t>
      </w:r>
    </w:p>
    <w:p>
      <w:pPr>
        <w:pStyle w:val="5"/>
        <w:spacing w:before="158"/>
      </w:pPr>
      <w:r>
        <w:t>8.4 监理人使用施工控制网本款补充：</w:t>
      </w:r>
    </w:p>
    <w:p>
      <w:pPr>
        <w:pStyle w:val="5"/>
        <w:spacing w:before="161" w:line="364" w:lineRule="auto"/>
        <w:ind w:right="3584"/>
      </w:pPr>
      <w:r>
        <w:t>经监理人批准，其他相关承包人也可免费使用施工控制网。9.施工安全、治安保卫和环境保护</w:t>
      </w:r>
    </w:p>
    <w:p>
      <w:pPr>
        <w:pStyle w:val="5"/>
        <w:spacing w:line="306" w:lineRule="exact"/>
      </w:pPr>
      <w:r>
        <w:t>9.2 承包人的施工安全责任第 9.2.1 项细化为：</w:t>
      </w:r>
    </w:p>
    <w:p>
      <w:pPr>
        <w:pStyle w:val="5"/>
        <w:spacing w:before="160" w:line="364" w:lineRule="auto"/>
        <w:ind w:right="639"/>
        <w:jc w:val="both"/>
      </w:pPr>
      <w: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pPr>
        <w:pStyle w:val="5"/>
        <w:spacing w:line="364" w:lineRule="auto"/>
        <w:ind w:right="584"/>
        <w:jc w:val="both"/>
      </w:pPr>
      <w:r>
        <w:t>承包人应根据本工程的实际安全施工要求，编制施工安全技术措施，并在签订合同协议书后 28</w:t>
      </w:r>
      <w:r>
        <w:rPr>
          <w:spacing w:val="-6"/>
        </w:rPr>
        <w:t xml:space="preserve"> 天内，报监理人和发包人批准。该施工安全技术措施包括</w:t>
      </w:r>
      <w:r>
        <w:t>（但不限于）</w:t>
      </w:r>
      <w:r>
        <w:rPr>
          <w:spacing w:val="-5"/>
        </w:rPr>
        <w:t xml:space="preserve"> 施工安</w:t>
      </w:r>
      <w:r>
        <w:rPr>
          <w:spacing w:val="-9"/>
        </w:rPr>
        <w:t>全保障体系，安全生产责任制，安全生产管理规章制度，安全防护施工方案， 施工现场</w:t>
      </w:r>
      <w:r>
        <w:rPr>
          <w:spacing w:val="-10"/>
        </w:rPr>
        <w:t>临时用电方案，施工安全评估，安全预控及保证措施方案，紧急应变措施， 安全标识、</w:t>
      </w:r>
      <w:r>
        <w:t>警示和围护方案等。对影响安全的重要工序和下列危险性较大的工程应编制专项施工方案，并附安全验算结果，经承包人项目总工签字并报监理人和发包人批准后实施，由专职安全生产管理人员进行现场监督。</w:t>
      </w:r>
    </w:p>
    <w:p>
      <w:pPr>
        <w:pStyle w:val="5"/>
        <w:spacing w:line="304" w:lineRule="exact"/>
      </w:pPr>
      <w:r>
        <w:t>本项目需要编制专项施工方案的工程包括但不限于以下内容：</w:t>
      </w:r>
    </w:p>
    <w:p>
      <w:pPr>
        <w:pStyle w:val="10"/>
        <w:numPr>
          <w:ilvl w:val="0"/>
          <w:numId w:val="63"/>
        </w:numPr>
        <w:tabs>
          <w:tab w:val="left" w:pos="1142"/>
        </w:tabs>
        <w:spacing w:before="155" w:after="0" w:line="240" w:lineRule="auto"/>
        <w:ind w:left="1141" w:right="0" w:hanging="602"/>
        <w:jc w:val="left"/>
        <w:rPr>
          <w:sz w:val="24"/>
        </w:rPr>
      </w:pPr>
      <w:r>
        <w:rPr>
          <w:sz w:val="24"/>
        </w:rPr>
        <w:t>不良地质条件下有潜在危险性的土方、石方开挖；</w:t>
      </w:r>
    </w:p>
    <w:p>
      <w:pPr>
        <w:pStyle w:val="10"/>
        <w:numPr>
          <w:ilvl w:val="0"/>
          <w:numId w:val="63"/>
        </w:numPr>
        <w:tabs>
          <w:tab w:val="left" w:pos="1142"/>
        </w:tabs>
        <w:spacing w:before="161" w:after="0" w:line="240" w:lineRule="auto"/>
        <w:ind w:left="1141" w:right="0" w:hanging="602"/>
        <w:jc w:val="left"/>
        <w:rPr>
          <w:sz w:val="24"/>
        </w:rPr>
      </w:pPr>
      <w:r>
        <w:rPr>
          <w:sz w:val="24"/>
        </w:rPr>
        <w:t>滑坡和高边坡处理；</w:t>
      </w:r>
    </w:p>
    <w:p>
      <w:pPr>
        <w:pStyle w:val="10"/>
        <w:numPr>
          <w:ilvl w:val="0"/>
          <w:numId w:val="63"/>
        </w:numPr>
        <w:tabs>
          <w:tab w:val="left" w:pos="1142"/>
        </w:tabs>
        <w:spacing w:before="158" w:after="0" w:line="240" w:lineRule="auto"/>
        <w:ind w:left="1141" w:right="0" w:hanging="602"/>
        <w:jc w:val="left"/>
        <w:rPr>
          <w:sz w:val="24"/>
        </w:rPr>
      </w:pPr>
      <w:r>
        <w:rPr>
          <w:sz w:val="24"/>
        </w:rPr>
        <w:t>桩基础、挡墙基础、深水基础及围堰工程；</w:t>
      </w:r>
    </w:p>
    <w:p>
      <w:pPr>
        <w:pStyle w:val="10"/>
        <w:numPr>
          <w:ilvl w:val="0"/>
          <w:numId w:val="63"/>
        </w:numPr>
        <w:tabs>
          <w:tab w:val="left" w:pos="1142"/>
        </w:tabs>
        <w:spacing w:before="160" w:after="0" w:line="240" w:lineRule="auto"/>
        <w:ind w:left="1141" w:right="0" w:hanging="602"/>
        <w:jc w:val="left"/>
        <w:rPr>
          <w:sz w:val="24"/>
        </w:rPr>
      </w:pPr>
      <w:r>
        <w:rPr>
          <w:sz w:val="24"/>
        </w:rPr>
        <w:t>桥梁工程中的梁、拱、柱等构件施工等；</w:t>
      </w:r>
    </w:p>
    <w:p>
      <w:pPr>
        <w:pStyle w:val="10"/>
        <w:numPr>
          <w:ilvl w:val="0"/>
          <w:numId w:val="63"/>
        </w:numPr>
        <w:tabs>
          <w:tab w:val="left" w:pos="1142"/>
        </w:tabs>
        <w:spacing w:before="161" w:after="0" w:line="240" w:lineRule="auto"/>
        <w:ind w:left="1141" w:right="0" w:hanging="602"/>
        <w:jc w:val="left"/>
        <w:rPr>
          <w:sz w:val="24"/>
        </w:rPr>
      </w:pPr>
      <w:r>
        <w:rPr>
          <w:sz w:val="24"/>
        </w:rPr>
        <w:t>隧道工程中的不良地质隧道、高瓦斯隧道等；</w:t>
      </w:r>
    </w:p>
    <w:p>
      <w:pPr>
        <w:spacing w:after="0" w:line="240" w:lineRule="auto"/>
        <w:jc w:val="left"/>
        <w:rPr>
          <w:sz w:val="24"/>
        </w:rPr>
        <w:sectPr>
          <w:pgSz w:w="11910" w:h="16840"/>
          <w:pgMar w:top="1380" w:right="720" w:bottom="1080" w:left="820" w:header="746" w:footer="891" w:gutter="0"/>
          <w:cols w:space="720" w:num="1"/>
        </w:sectPr>
      </w:pPr>
    </w:p>
    <w:p>
      <w:pPr>
        <w:pStyle w:val="10"/>
        <w:numPr>
          <w:ilvl w:val="0"/>
          <w:numId w:val="63"/>
        </w:numPr>
        <w:tabs>
          <w:tab w:val="left" w:pos="1142"/>
        </w:tabs>
        <w:spacing w:before="61" w:after="0" w:line="364" w:lineRule="auto"/>
        <w:ind w:left="540" w:right="1304" w:firstLine="0"/>
        <w:jc w:val="left"/>
        <w:rPr>
          <w:sz w:val="24"/>
        </w:rPr>
      </w:pPr>
      <w:r>
        <w:rPr>
          <w:spacing w:val="-1"/>
          <w:sz w:val="24"/>
        </w:rPr>
        <w:t>水上工程中的打桩船作业、施工船作业、外海孤岛作业、边通航边施工作业</w:t>
      </w:r>
      <w:r>
        <w:rPr>
          <w:sz w:val="24"/>
        </w:rPr>
        <w:t>等；</w:t>
      </w:r>
    </w:p>
    <w:p>
      <w:pPr>
        <w:pStyle w:val="10"/>
        <w:numPr>
          <w:ilvl w:val="0"/>
          <w:numId w:val="63"/>
        </w:numPr>
        <w:tabs>
          <w:tab w:val="left" w:pos="1142"/>
        </w:tabs>
        <w:spacing w:before="0" w:after="0" w:line="306" w:lineRule="exact"/>
        <w:ind w:left="1141" w:right="0" w:hanging="602"/>
        <w:jc w:val="left"/>
        <w:rPr>
          <w:sz w:val="24"/>
        </w:rPr>
      </w:pPr>
      <w:r>
        <w:rPr>
          <w:sz w:val="24"/>
        </w:rPr>
        <w:t>水下工程中的水下焊接、混凝土浇筑、爆破工程等；</w:t>
      </w:r>
    </w:p>
    <w:p>
      <w:pPr>
        <w:pStyle w:val="10"/>
        <w:numPr>
          <w:ilvl w:val="0"/>
          <w:numId w:val="63"/>
        </w:numPr>
        <w:tabs>
          <w:tab w:val="left" w:pos="1142"/>
        </w:tabs>
        <w:spacing w:before="160" w:after="0" w:line="240" w:lineRule="auto"/>
        <w:ind w:left="1141" w:right="0" w:hanging="602"/>
        <w:jc w:val="left"/>
        <w:rPr>
          <w:sz w:val="24"/>
        </w:rPr>
      </w:pPr>
      <w:r>
        <w:rPr>
          <w:sz w:val="24"/>
        </w:rPr>
        <w:t>爆破工程；</w:t>
      </w:r>
    </w:p>
    <w:p>
      <w:pPr>
        <w:pStyle w:val="10"/>
        <w:numPr>
          <w:ilvl w:val="0"/>
          <w:numId w:val="63"/>
        </w:numPr>
        <w:tabs>
          <w:tab w:val="left" w:pos="1142"/>
        </w:tabs>
        <w:spacing w:before="158" w:after="0" w:line="364" w:lineRule="auto"/>
        <w:ind w:left="540" w:right="1304" w:firstLine="0"/>
        <w:jc w:val="left"/>
        <w:rPr>
          <w:sz w:val="24"/>
        </w:rPr>
      </w:pPr>
      <w:r>
        <w:rPr>
          <w:spacing w:val="-1"/>
          <w:sz w:val="24"/>
        </w:rPr>
        <w:t>大型临时工程中的大型支架、模板、便桥的架设与拆除；桥梁、码头的加固</w:t>
      </w:r>
      <w:r>
        <w:rPr>
          <w:sz w:val="24"/>
        </w:rPr>
        <w:t>与拆除；</w:t>
      </w:r>
    </w:p>
    <w:p>
      <w:pPr>
        <w:pStyle w:val="10"/>
        <w:numPr>
          <w:ilvl w:val="0"/>
          <w:numId w:val="63"/>
        </w:numPr>
        <w:tabs>
          <w:tab w:val="left" w:pos="1262"/>
        </w:tabs>
        <w:spacing w:before="0" w:after="0" w:line="306" w:lineRule="exact"/>
        <w:ind w:left="1261" w:right="0" w:hanging="722"/>
        <w:jc w:val="left"/>
        <w:rPr>
          <w:sz w:val="24"/>
        </w:rPr>
      </w:pPr>
      <w:r>
        <w:rPr>
          <w:sz w:val="24"/>
        </w:rPr>
        <w:t>其他危险性较大的工程。</w:t>
      </w:r>
    </w:p>
    <w:p>
      <w:pPr>
        <w:pStyle w:val="5"/>
        <w:spacing w:before="161" w:line="364" w:lineRule="auto"/>
        <w:ind w:right="574"/>
      </w:pPr>
      <w:r>
        <w:t>监理人和发包人在检查中发现有安全问题或有违反安全管理规章制度的情况时， 可视其为承包人违约，应按第 22.1 款的规定处理。</w:t>
      </w:r>
    </w:p>
    <w:p>
      <w:pPr>
        <w:pStyle w:val="5"/>
        <w:spacing w:line="306" w:lineRule="exact"/>
      </w:pPr>
      <w:r>
        <w:t>第 9.2.5 项细化为：</w:t>
      </w:r>
    </w:p>
    <w:p>
      <w:pPr>
        <w:pStyle w:val="5"/>
        <w:spacing w:before="158" w:line="364" w:lineRule="auto"/>
        <w:ind w:right="639"/>
        <w:jc w:val="both"/>
      </w:pPr>
      <w:r>
        <w:t>除项目用合同条款另有约定外，安全生产费应为参照招标控制价计取方式。安全生产费用应用于施工安全防护用具及设施的采购和更新、安全施工措施的落实、安全生产条件的改善，不得挪作他用。如承包人在此基础上增加安全生产费用以满足项目施工需要， 则承包人应在本项目工程量清单其他相关子目的单价或总额价中予以考虑，发包人不再</w:t>
      </w:r>
      <w:r>
        <w:rPr>
          <w:spacing w:val="-6"/>
        </w:rPr>
        <w:t xml:space="preserve">另行支付。因采取合同未约定的特殊防护措施增加的费用，由监理人按第 </w:t>
      </w:r>
      <w:r>
        <w:t>3.5</w:t>
      </w:r>
      <w:r>
        <w:rPr>
          <w:spacing w:val="-4"/>
        </w:rPr>
        <w:t xml:space="preserve"> 款商定或</w:t>
      </w:r>
      <w:r>
        <w:t>确定。</w:t>
      </w:r>
    </w:p>
    <w:p>
      <w:pPr>
        <w:pStyle w:val="5"/>
        <w:spacing w:line="306" w:lineRule="exact"/>
        <w:jc w:val="both"/>
      </w:pPr>
      <w:r>
        <w:t>本款补充第 9.2.8 项～9.2.11 项：</w:t>
      </w:r>
    </w:p>
    <w:p>
      <w:pPr>
        <w:pStyle w:val="10"/>
        <w:numPr>
          <w:ilvl w:val="2"/>
          <w:numId w:val="64"/>
        </w:numPr>
        <w:tabs>
          <w:tab w:val="left" w:pos="1201"/>
        </w:tabs>
        <w:spacing w:before="158" w:after="0" w:line="364" w:lineRule="auto"/>
        <w:ind w:left="540" w:right="639" w:firstLine="0"/>
        <w:jc w:val="both"/>
        <w:rPr>
          <w:sz w:val="24"/>
        </w:rPr>
      </w:pPr>
      <w:r>
        <w:rPr>
          <w:spacing w:val="-6"/>
          <w:sz w:val="24"/>
        </w:rPr>
        <w:t>承包人应充分关注和保障所有在现场工作的人员的安全，采取以下有效措施，使现</w:t>
      </w:r>
      <w:r>
        <w:rPr>
          <w:sz w:val="24"/>
        </w:rPr>
        <w:t>场和本合同工程的实施保持有条不紊，以免使让述人员的安全受到威胁。</w:t>
      </w:r>
    </w:p>
    <w:p>
      <w:pPr>
        <w:pStyle w:val="10"/>
        <w:numPr>
          <w:ilvl w:val="0"/>
          <w:numId w:val="65"/>
        </w:numPr>
        <w:tabs>
          <w:tab w:val="left" w:pos="1142"/>
        </w:tabs>
        <w:spacing w:before="0" w:after="0" w:line="364" w:lineRule="auto"/>
        <w:ind w:left="540" w:right="639" w:firstLine="0"/>
        <w:jc w:val="left"/>
        <w:rPr>
          <w:sz w:val="24"/>
        </w:rPr>
      </w:pPr>
      <w:r>
        <w:rPr>
          <w:spacing w:val="-6"/>
          <w:sz w:val="24"/>
        </w:rPr>
        <w:t>按《公路水运工程安全生产临督管理办法》规定的最低数量和资质条件配备专职安</w:t>
      </w:r>
      <w:r>
        <w:rPr>
          <w:sz w:val="24"/>
        </w:rPr>
        <w:t>全生产管理人员；</w:t>
      </w:r>
    </w:p>
    <w:p>
      <w:pPr>
        <w:pStyle w:val="10"/>
        <w:numPr>
          <w:ilvl w:val="0"/>
          <w:numId w:val="65"/>
        </w:numPr>
        <w:tabs>
          <w:tab w:val="left" w:pos="1142"/>
        </w:tabs>
        <w:spacing w:before="0" w:after="0" w:line="364" w:lineRule="auto"/>
        <w:ind w:left="540" w:right="519" w:firstLine="0"/>
        <w:jc w:val="left"/>
        <w:rPr>
          <w:sz w:val="24"/>
        </w:rPr>
      </w:pPr>
      <w:r>
        <w:rPr>
          <w:spacing w:val="-8"/>
          <w:sz w:val="24"/>
        </w:rPr>
        <w:t>承包人的垂直运输机械作业人员、施工船舶作业人员、爆破作业人员、安装拆卸工</w:t>
      </w:r>
      <w:r>
        <w:rPr>
          <w:spacing w:val="-4"/>
          <w:sz w:val="24"/>
        </w:rPr>
        <w:t>、起重信号工、电工、焊工等国家规定的特种作业人员，必须按照国家规定经过专门的安全作业培训，并取得特种作业操作资格证书后，方可上岗作业；；</w:t>
      </w:r>
    </w:p>
    <w:p>
      <w:pPr>
        <w:pStyle w:val="10"/>
        <w:numPr>
          <w:ilvl w:val="0"/>
          <w:numId w:val="65"/>
        </w:numPr>
        <w:tabs>
          <w:tab w:val="left" w:pos="1142"/>
        </w:tabs>
        <w:spacing w:before="0" w:after="0" w:line="307" w:lineRule="exact"/>
        <w:ind w:left="1141" w:right="0" w:hanging="602"/>
        <w:jc w:val="left"/>
        <w:rPr>
          <w:sz w:val="24"/>
        </w:rPr>
      </w:pPr>
      <w:r>
        <w:rPr>
          <w:sz w:val="24"/>
        </w:rPr>
        <w:t>所有施工机具设备和高空作业设备均应定期检查，并有安全员的签字记录。</w:t>
      </w:r>
    </w:p>
    <w:p>
      <w:pPr>
        <w:pStyle w:val="10"/>
        <w:numPr>
          <w:ilvl w:val="0"/>
          <w:numId w:val="65"/>
        </w:numPr>
        <w:tabs>
          <w:tab w:val="left" w:pos="1142"/>
        </w:tabs>
        <w:spacing w:before="156" w:after="0" w:line="240" w:lineRule="auto"/>
        <w:ind w:left="1141" w:right="0" w:hanging="602"/>
        <w:jc w:val="left"/>
        <w:rPr>
          <w:sz w:val="24"/>
        </w:rPr>
      </w:pPr>
      <w:r>
        <w:rPr>
          <w:spacing w:val="-7"/>
          <w:sz w:val="24"/>
        </w:rPr>
        <w:t>根据本合同各单位工程的特点，严格执行《公路水运工程安全生产监督管理办法》、</w:t>
      </w:r>
    </w:p>
    <w:p>
      <w:pPr>
        <w:pStyle w:val="5"/>
        <w:spacing w:before="160"/>
      </w:pPr>
      <w:r>
        <w:t>《公路工程施工安全技术规程》与《公路筑养路机械操作规程》的具体规定。</w:t>
      </w:r>
    </w:p>
    <w:p>
      <w:pPr>
        <w:pStyle w:val="10"/>
        <w:numPr>
          <w:ilvl w:val="2"/>
          <w:numId w:val="64"/>
        </w:numPr>
        <w:tabs>
          <w:tab w:val="left" w:pos="1201"/>
        </w:tabs>
        <w:spacing w:before="158" w:after="0" w:line="364" w:lineRule="auto"/>
        <w:ind w:left="540" w:right="639" w:firstLine="0"/>
        <w:jc w:val="both"/>
        <w:rPr>
          <w:sz w:val="24"/>
        </w:rPr>
      </w:pPr>
      <w:r>
        <w:rPr>
          <w:spacing w:val="-8"/>
          <w:sz w:val="24"/>
        </w:rPr>
        <w:t>为保护本合同工程免遭损坏，或为了现场附近和过往群众的安全与方便，在确有必</w:t>
      </w:r>
      <w:r>
        <w:rPr>
          <w:sz w:val="24"/>
        </w:rPr>
        <w:t>要的时候和地方，或当监理人或有关主管部门要求时，承包人应自费提供照明、警卫、护栅、警告标志等安全防护设施。</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64"/>
        </w:numPr>
        <w:tabs>
          <w:tab w:val="left" w:pos="1321"/>
        </w:tabs>
        <w:spacing w:before="61" w:after="0" w:line="364" w:lineRule="auto"/>
        <w:ind w:left="540" w:right="639" w:firstLine="0"/>
        <w:jc w:val="both"/>
        <w:rPr>
          <w:sz w:val="24"/>
        </w:rPr>
      </w:pPr>
      <w:r>
        <w:rPr>
          <w:spacing w:val="-1"/>
          <w:sz w:val="24"/>
        </w:rPr>
        <w:t xml:space="preserve">在通航水域施工时，承包人应与当地主管部门取得联系，设置必要的导航标志， </w:t>
      </w:r>
      <w:r>
        <w:rPr>
          <w:sz w:val="24"/>
        </w:rPr>
        <w:t>及时发布航行通告，确保施工水域安全。</w:t>
      </w:r>
    </w:p>
    <w:p>
      <w:pPr>
        <w:pStyle w:val="10"/>
        <w:numPr>
          <w:ilvl w:val="2"/>
          <w:numId w:val="64"/>
        </w:numPr>
        <w:tabs>
          <w:tab w:val="left" w:pos="1321"/>
        </w:tabs>
        <w:spacing w:before="0" w:after="0" w:line="364" w:lineRule="auto"/>
        <w:ind w:left="540" w:right="639" w:firstLine="0"/>
        <w:jc w:val="both"/>
        <w:rPr>
          <w:sz w:val="24"/>
        </w:rPr>
      </w:pPr>
      <w:r>
        <w:rPr>
          <w:spacing w:val="-1"/>
          <w:sz w:val="24"/>
        </w:rPr>
        <w:t>在整个施工过程中对承包人采取的施工安全措施，发包人和监理人有权监督，并</w:t>
      </w:r>
      <w:r>
        <w:rPr>
          <w:sz w:val="24"/>
        </w:rPr>
        <w:t>向承包人提出整改要求。如果由于承包人未能对其负责的上述事项采取各种必要的措施而导致或发生与此有关的人身伤亡、罚款、索赔、损失补偿、诉讼费用及其他一切责任应由承包人负责。</w:t>
      </w:r>
    </w:p>
    <w:p>
      <w:pPr>
        <w:pStyle w:val="5"/>
        <w:spacing w:line="305" w:lineRule="exact"/>
        <w:jc w:val="both"/>
      </w:pPr>
      <w:r>
        <w:t>9．4 环境保护</w:t>
      </w:r>
    </w:p>
    <w:p>
      <w:pPr>
        <w:pStyle w:val="5"/>
        <w:spacing w:before="159"/>
      </w:pPr>
      <w:r>
        <w:t>本款补充第 9.4.7～第 9.4.11 项：</w:t>
      </w:r>
    </w:p>
    <w:p>
      <w:pPr>
        <w:pStyle w:val="10"/>
        <w:numPr>
          <w:ilvl w:val="2"/>
          <w:numId w:val="66"/>
        </w:numPr>
        <w:tabs>
          <w:tab w:val="left" w:pos="1201"/>
        </w:tabs>
        <w:spacing w:before="160" w:after="0" w:line="240" w:lineRule="auto"/>
        <w:ind w:left="1200" w:right="0" w:hanging="661"/>
        <w:jc w:val="both"/>
        <w:rPr>
          <w:sz w:val="24"/>
        </w:rPr>
      </w:pPr>
      <w:r>
        <w:rPr>
          <w:sz w:val="24"/>
        </w:rPr>
        <w:t>承包人应切实执行技术规范中有关环境保护方面的条款和规定。</w:t>
      </w:r>
    </w:p>
    <w:p>
      <w:pPr>
        <w:pStyle w:val="10"/>
        <w:numPr>
          <w:ilvl w:val="0"/>
          <w:numId w:val="67"/>
        </w:numPr>
        <w:tabs>
          <w:tab w:val="left" w:pos="1142"/>
        </w:tabs>
        <w:spacing w:before="158" w:after="0" w:line="240" w:lineRule="auto"/>
        <w:ind w:left="1141" w:right="0" w:hanging="602"/>
        <w:jc w:val="left"/>
        <w:rPr>
          <w:sz w:val="24"/>
        </w:rPr>
      </w:pPr>
      <w:r>
        <w:rPr>
          <w:sz w:val="24"/>
        </w:rPr>
        <w:t>对于来自施工机械和运输车辆的施工噪声，为保护施工人员的健康，应遵守</w:t>
      </w:r>
    </w:p>
    <w:p>
      <w:pPr>
        <w:pStyle w:val="5"/>
        <w:spacing w:before="159" w:line="364" w:lineRule="auto"/>
        <w:ind w:right="639"/>
        <w:jc w:val="both"/>
      </w:pPr>
      <w:r>
        <w:t>《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 150m 以内的施工现场，施工时间应加以控制。</w:t>
      </w:r>
    </w:p>
    <w:p>
      <w:pPr>
        <w:pStyle w:val="10"/>
        <w:numPr>
          <w:ilvl w:val="0"/>
          <w:numId w:val="67"/>
        </w:numPr>
        <w:tabs>
          <w:tab w:val="left" w:pos="1142"/>
        </w:tabs>
        <w:spacing w:before="0" w:after="0" w:line="364" w:lineRule="auto"/>
        <w:ind w:left="540" w:right="639" w:firstLine="0"/>
        <w:jc w:val="both"/>
        <w:rPr>
          <w:sz w:val="24"/>
        </w:rPr>
      </w:pPr>
      <w:r>
        <w:rPr>
          <w:spacing w:val="-2"/>
          <w:sz w:val="24"/>
        </w:rPr>
        <w:t>对于公路施工中粉尘污染的主要污染源——灰土拌和、施工车辆和筑路机械运行</w:t>
      </w:r>
      <w:r>
        <w:rPr>
          <w:spacing w:val="-4"/>
          <w:sz w:val="24"/>
        </w:rPr>
        <w:t>及运输产生的扬尘，应采取有效措施减轻施工现场的大气污染，保护人民健康， 如：</w:t>
      </w:r>
    </w:p>
    <w:p>
      <w:pPr>
        <w:pStyle w:val="10"/>
        <w:numPr>
          <w:ilvl w:val="0"/>
          <w:numId w:val="68"/>
        </w:numPr>
        <w:tabs>
          <w:tab w:val="left" w:pos="782"/>
        </w:tabs>
        <w:spacing w:before="0" w:after="0" w:line="306" w:lineRule="exact"/>
        <w:ind w:left="781" w:right="0" w:hanging="242"/>
        <w:jc w:val="left"/>
        <w:rPr>
          <w:sz w:val="24"/>
        </w:rPr>
      </w:pPr>
      <w:r>
        <w:rPr>
          <w:sz w:val="24"/>
        </w:rPr>
        <w:t>拌和设备应有较好的密封，或有防尘设备。</w:t>
      </w:r>
    </w:p>
    <w:p>
      <w:pPr>
        <w:pStyle w:val="10"/>
        <w:numPr>
          <w:ilvl w:val="0"/>
          <w:numId w:val="68"/>
        </w:numPr>
        <w:tabs>
          <w:tab w:val="left" w:pos="782"/>
        </w:tabs>
        <w:spacing w:before="158" w:after="0" w:line="362" w:lineRule="auto"/>
        <w:ind w:left="540" w:right="639" w:firstLine="0"/>
        <w:jc w:val="left"/>
        <w:rPr>
          <w:sz w:val="24"/>
        </w:rPr>
      </w:pPr>
      <w:r>
        <w:rPr>
          <w:sz w:val="24"/>
        </w:rPr>
        <w:t>施工通道、沥青混凝土拌和站及灰土拌和站应经常进行洒水降尘。c.路面施工应注意保持水分，以免扬尘。</w:t>
      </w:r>
    </w:p>
    <w:p>
      <w:pPr>
        <w:pStyle w:val="5"/>
        <w:spacing w:before="5" w:line="362" w:lineRule="auto"/>
        <w:ind w:right="642"/>
      </w:pPr>
      <w:r>
        <w:t>d.隧道出渣和桥梁钻孔灌注桩施工时排出的泥浆要进行妥善处理，严禁向河流或农田排放。</w:t>
      </w:r>
    </w:p>
    <w:p>
      <w:pPr>
        <w:pStyle w:val="10"/>
        <w:numPr>
          <w:ilvl w:val="0"/>
          <w:numId w:val="67"/>
        </w:numPr>
        <w:tabs>
          <w:tab w:val="left" w:pos="1142"/>
        </w:tabs>
        <w:spacing w:before="5" w:after="0" w:line="364" w:lineRule="auto"/>
        <w:ind w:left="540" w:right="639" w:firstLine="0"/>
        <w:jc w:val="left"/>
        <w:rPr>
          <w:sz w:val="24"/>
        </w:rPr>
      </w:pPr>
      <w:r>
        <w:rPr>
          <w:spacing w:val="-4"/>
          <w:sz w:val="24"/>
        </w:rPr>
        <w:t>采取可靠措施保证原有交通的正常通行，维持沿线村镇的居民饮水、农田灌溉、生</w:t>
      </w:r>
      <w:r>
        <w:rPr>
          <w:sz w:val="24"/>
        </w:rPr>
        <w:t>产生活用电及通讯等管线的正常使用。</w:t>
      </w:r>
    </w:p>
    <w:p>
      <w:pPr>
        <w:pStyle w:val="10"/>
        <w:numPr>
          <w:ilvl w:val="2"/>
          <w:numId w:val="66"/>
        </w:numPr>
        <w:tabs>
          <w:tab w:val="left" w:pos="1201"/>
        </w:tabs>
        <w:spacing w:before="0" w:after="0" w:line="364" w:lineRule="auto"/>
        <w:ind w:left="540" w:right="639" w:firstLine="0"/>
        <w:jc w:val="both"/>
        <w:rPr>
          <w:sz w:val="24"/>
        </w:rPr>
      </w:pPr>
      <w:r>
        <w:rPr>
          <w:spacing w:val="-6"/>
          <w:sz w:val="24"/>
        </w:rPr>
        <w:t>在整个施工过程中对承包人采取的环境保护措施，发包人和监理人有权监督，并向</w:t>
      </w:r>
      <w:r>
        <w:rPr>
          <w:sz w:val="24"/>
        </w:rPr>
        <w:t>承包人提出整改要求。如果由于承包人未能对其负责的上述事项采取各种必要的措施而导致或发生与此有关的人身伤亡、罚款、索赔、损失补偿、诉讼费用及其他一切责任应由承包人负责。</w:t>
      </w:r>
    </w:p>
    <w:p>
      <w:pPr>
        <w:pStyle w:val="10"/>
        <w:numPr>
          <w:ilvl w:val="2"/>
          <w:numId w:val="66"/>
        </w:numPr>
        <w:tabs>
          <w:tab w:val="left" w:pos="1201"/>
        </w:tabs>
        <w:spacing w:before="0" w:after="0" w:line="364" w:lineRule="auto"/>
        <w:ind w:left="540" w:right="639" w:firstLine="0"/>
        <w:jc w:val="both"/>
        <w:rPr>
          <w:sz w:val="24"/>
        </w:rPr>
      </w:pPr>
      <w:r>
        <w:rPr>
          <w:spacing w:val="-11"/>
          <w:sz w:val="24"/>
        </w:rPr>
        <w:t>在施工期间，承包人应随时保持现场整洁，施工设备和材料、工程设备应整齐妥善</w:t>
      </w:r>
      <w:r>
        <w:rPr>
          <w:sz w:val="24"/>
        </w:rPr>
        <w:t>存放和储存，废料与垃圾及不再需要的临时设施应及时从现场清除、拆除并运走。</w:t>
      </w:r>
    </w:p>
    <w:p>
      <w:pPr>
        <w:spacing w:after="0" w:line="364" w:lineRule="auto"/>
        <w:jc w:val="both"/>
        <w:rPr>
          <w:sz w:val="24"/>
        </w:rPr>
        <w:sectPr>
          <w:pgSz w:w="11910" w:h="16840"/>
          <w:pgMar w:top="1380" w:right="720" w:bottom="1080" w:left="820" w:header="746" w:footer="891" w:gutter="0"/>
          <w:cols w:space="720" w:num="1"/>
        </w:sectPr>
      </w:pPr>
    </w:p>
    <w:p>
      <w:pPr>
        <w:pStyle w:val="10"/>
        <w:numPr>
          <w:ilvl w:val="2"/>
          <w:numId w:val="66"/>
        </w:numPr>
        <w:tabs>
          <w:tab w:val="left" w:pos="1321"/>
        </w:tabs>
        <w:spacing w:before="61" w:after="0" w:line="364" w:lineRule="auto"/>
        <w:ind w:left="540" w:right="519" w:firstLine="0"/>
        <w:jc w:val="left"/>
        <w:rPr>
          <w:sz w:val="24"/>
        </w:rPr>
      </w:pPr>
      <w:r>
        <w:rPr>
          <w:sz w:val="24"/>
        </w:rPr>
        <w:t>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w:t>
      </w:r>
      <w:r>
        <w:rPr>
          <w:spacing w:val="-5"/>
          <w:sz w:val="24"/>
        </w:rPr>
        <w:t>场的施工防护要符合要求，防止水土流失。承包人应严格控制临时占地数量，施工便道、</w:t>
      </w:r>
      <w:r>
        <w:rPr>
          <w:spacing w:val="-8"/>
          <w:sz w:val="24"/>
        </w:rPr>
        <w:t>各种料场、预制场要根据工程进度统筹考虑，尽可能设置在公路用地范围内或利用荒坡、</w:t>
      </w:r>
      <w:r>
        <w:rPr>
          <w:sz w:val="24"/>
        </w:rPr>
        <w:t>废弃地解决，不得占用农田。施工过程中要采取有效措施防止污染农田，项目完工后承包人应将临时占地自费恢复到临时占地使用前的状况。</w:t>
      </w:r>
    </w:p>
    <w:p>
      <w:pPr>
        <w:pStyle w:val="10"/>
        <w:numPr>
          <w:ilvl w:val="2"/>
          <w:numId w:val="66"/>
        </w:numPr>
        <w:tabs>
          <w:tab w:val="left" w:pos="1321"/>
        </w:tabs>
        <w:spacing w:before="0" w:after="0" w:line="364" w:lineRule="auto"/>
        <w:ind w:left="540" w:right="639" w:firstLine="0"/>
        <w:jc w:val="both"/>
        <w:rPr>
          <w:sz w:val="24"/>
        </w:rPr>
      </w:pPr>
      <w:r>
        <w:rPr>
          <w:spacing w:val="-1"/>
          <w:sz w:val="24"/>
        </w:rPr>
        <w:t>承包人应严格按照国家有关法规要求，做好施工过程中的生态保护和水土保持工</w:t>
      </w:r>
      <w:r>
        <w:rPr>
          <w:sz w:val="24"/>
        </w:rPr>
        <w:t>作。施工中要尽可能减少对原地面的扰动，减少对地面草木的破坏，需要爆破作业的， 应按规定进行控爆设计。雨季填筑路基应随挖、随运、随压，要完善施工中的临时排水系统，加强施工便道的管理。取（弃）土场必须先挡后弃，严禁在指定的取（弃）土场以外的地方乱挖乱弃。</w:t>
      </w:r>
    </w:p>
    <w:p>
      <w:pPr>
        <w:pStyle w:val="10"/>
        <w:numPr>
          <w:ilvl w:val="0"/>
          <w:numId w:val="69"/>
        </w:numPr>
        <w:tabs>
          <w:tab w:val="left" w:pos="902"/>
        </w:tabs>
        <w:spacing w:before="0" w:after="0" w:line="306" w:lineRule="exact"/>
        <w:ind w:left="901" w:right="0" w:hanging="362"/>
        <w:jc w:val="left"/>
        <w:rPr>
          <w:sz w:val="24"/>
        </w:rPr>
      </w:pPr>
      <w:r>
        <w:rPr>
          <w:sz w:val="24"/>
        </w:rPr>
        <w:t>进度计划</w:t>
      </w:r>
    </w:p>
    <w:p>
      <w:pPr>
        <w:pStyle w:val="10"/>
        <w:numPr>
          <w:ilvl w:val="1"/>
          <w:numId w:val="69"/>
        </w:numPr>
        <w:tabs>
          <w:tab w:val="left" w:pos="1081"/>
        </w:tabs>
        <w:spacing w:before="155" w:after="0" w:line="240" w:lineRule="auto"/>
        <w:ind w:left="1080" w:right="0" w:hanging="541"/>
        <w:jc w:val="left"/>
        <w:rPr>
          <w:sz w:val="24"/>
        </w:rPr>
      </w:pPr>
      <w:r>
        <w:rPr>
          <w:sz w:val="24"/>
        </w:rPr>
        <w:t>合同进度计划本款补充：</w:t>
      </w:r>
    </w:p>
    <w:p>
      <w:pPr>
        <w:pStyle w:val="5"/>
        <w:spacing w:before="160"/>
      </w:pPr>
      <w:r>
        <w:t>承包人编制施工方案说明的内容见项目专用合同条款。</w:t>
      </w:r>
    </w:p>
    <w:p>
      <w:pPr>
        <w:pStyle w:val="5"/>
        <w:spacing w:before="158" w:line="364" w:lineRule="auto"/>
        <w:ind w:right="639"/>
      </w:pPr>
      <w:r>
        <w:t>承包人向监理人报送施工进度计划和施工方案说明的期限：签订合同协议书后 28</w:t>
      </w:r>
      <w:r>
        <w:rPr>
          <w:spacing w:val="8"/>
        </w:rPr>
        <w:t xml:space="preserve"> 天之内。</w:t>
      </w:r>
    </w:p>
    <w:p>
      <w:pPr>
        <w:pStyle w:val="5"/>
        <w:spacing w:line="364" w:lineRule="auto"/>
        <w:ind w:right="1184"/>
      </w:pPr>
      <w:r>
        <w:t>监理人应在 14</w:t>
      </w:r>
      <w:r>
        <w:rPr>
          <w:spacing w:val="-1"/>
        </w:rPr>
        <w:t xml:space="preserve"> 天内对承包人施工进度计划和施工方案说明予以批复或提出修改意</w:t>
      </w:r>
      <w:r>
        <w:t>见。</w:t>
      </w:r>
    </w:p>
    <w:p>
      <w:pPr>
        <w:pStyle w:val="5"/>
        <w:spacing w:line="364" w:lineRule="auto"/>
        <w:ind w:right="1424"/>
      </w:pPr>
      <w:r>
        <w:t>合同进度计划应按照关键线路网络图和主要工作横道图两种形式分别编绘，并应包括每月预计完成的工作量和形象进度。</w:t>
      </w:r>
    </w:p>
    <w:p>
      <w:pPr>
        <w:pStyle w:val="10"/>
        <w:numPr>
          <w:ilvl w:val="1"/>
          <w:numId w:val="69"/>
        </w:numPr>
        <w:tabs>
          <w:tab w:val="left" w:pos="1081"/>
        </w:tabs>
        <w:spacing w:before="0" w:after="0" w:line="306" w:lineRule="exact"/>
        <w:ind w:left="1080" w:right="0" w:hanging="541"/>
        <w:jc w:val="left"/>
        <w:rPr>
          <w:sz w:val="24"/>
        </w:rPr>
      </w:pPr>
      <w:r>
        <w:rPr>
          <w:sz w:val="24"/>
        </w:rPr>
        <w:t>合同进度计划的修订本款补充：</w:t>
      </w:r>
    </w:p>
    <w:p>
      <w:pPr>
        <w:pStyle w:val="5"/>
        <w:spacing w:before="158" w:line="364" w:lineRule="auto"/>
        <w:ind w:right="639"/>
      </w:pPr>
      <w:r>
        <w:t>承包人提交合同进度计划修订申请报告，并附有关措施和相关资料的期限：实际进度发生滞后的当月 25 日前。</w:t>
      </w:r>
    </w:p>
    <w:p>
      <w:pPr>
        <w:pStyle w:val="5"/>
        <w:spacing w:line="362" w:lineRule="auto"/>
        <w:ind w:right="1904"/>
      </w:pPr>
      <w:r>
        <w:t>监理人批复修订合同进度计划的期限：收到修订合同进度计划后 14</w:t>
      </w:r>
      <w:r>
        <w:rPr>
          <w:spacing w:val="-5"/>
        </w:rPr>
        <w:t xml:space="preserve"> 天内。</w:t>
      </w:r>
      <w:r>
        <w:t>补充第 10.3、10.4 款：</w:t>
      </w:r>
    </w:p>
    <w:p>
      <w:pPr>
        <w:pStyle w:val="10"/>
        <w:numPr>
          <w:ilvl w:val="1"/>
          <w:numId w:val="69"/>
        </w:numPr>
        <w:tabs>
          <w:tab w:val="left" w:pos="1081"/>
        </w:tabs>
        <w:spacing w:before="4" w:after="0" w:line="240" w:lineRule="auto"/>
        <w:ind w:left="1080" w:right="0" w:hanging="541"/>
        <w:jc w:val="left"/>
        <w:rPr>
          <w:sz w:val="24"/>
        </w:rPr>
      </w:pPr>
      <w:r>
        <w:rPr>
          <w:sz w:val="24"/>
        </w:rPr>
        <w:t>年度施工计划</w:t>
      </w:r>
    </w:p>
    <w:p>
      <w:pPr>
        <w:pStyle w:val="5"/>
        <w:spacing w:before="158"/>
      </w:pPr>
      <w:r>
        <w:t>承包人应在每年 11 月底前，根据已同意的合同进度计划或其修订的计划，向监理</w:t>
      </w:r>
    </w:p>
    <w:p>
      <w:pPr>
        <w:pStyle w:val="5"/>
        <w:spacing w:before="161" w:line="364" w:lineRule="auto"/>
        <w:ind w:right="574"/>
      </w:pPr>
      <w:r>
        <w:t>人提交 2 份格式和内容符合监理人合理规定的下一年度的施工计划，以供审查。该计划应包括本年度估计完成的和下一年度预计完成的分项工程数量和工作量，以及为实施此</w:t>
      </w:r>
    </w:p>
    <w:p>
      <w:pPr>
        <w:spacing w:after="0" w:line="364" w:lineRule="auto"/>
        <w:sectPr>
          <w:pgSz w:w="11910" w:h="16840"/>
          <w:pgMar w:top="1380" w:right="720" w:bottom="1080" w:left="820" w:header="746" w:footer="891" w:gutter="0"/>
          <w:cols w:space="720" w:num="1"/>
        </w:sectPr>
      </w:pPr>
    </w:p>
    <w:p>
      <w:pPr>
        <w:pStyle w:val="5"/>
        <w:spacing w:before="61"/>
      </w:pPr>
      <w:r>
        <w:t>计划将采取的措施。</w:t>
      </w:r>
    </w:p>
    <w:p>
      <w:pPr>
        <w:pStyle w:val="10"/>
        <w:numPr>
          <w:ilvl w:val="1"/>
          <w:numId w:val="69"/>
        </w:numPr>
        <w:tabs>
          <w:tab w:val="left" w:pos="1081"/>
        </w:tabs>
        <w:spacing w:before="160" w:after="0" w:line="240" w:lineRule="auto"/>
        <w:ind w:left="1080" w:right="0" w:hanging="541"/>
        <w:jc w:val="left"/>
        <w:rPr>
          <w:sz w:val="24"/>
        </w:rPr>
      </w:pPr>
      <w:r>
        <w:rPr>
          <w:sz w:val="24"/>
        </w:rPr>
        <w:t>合同用款计划</w:t>
      </w:r>
    </w:p>
    <w:p>
      <w:pPr>
        <w:pStyle w:val="5"/>
        <w:spacing w:before="158"/>
      </w:pPr>
      <w:r>
        <w:t>承包人应在签订本合同协议书后 28 天之内，按招标文件中规定的格式，向监理人</w:t>
      </w:r>
    </w:p>
    <w:p>
      <w:pPr>
        <w:pStyle w:val="5"/>
        <w:spacing w:before="161" w:line="362" w:lineRule="auto"/>
        <w:ind w:right="639"/>
      </w:pPr>
      <w:r>
        <w:t>提交 2 份按合同规定承包人有权得到支付的详细的季度合同用款计划，以备监理人查阅。如果监理人提出要求，承包人还应按季度提交修订的合同用款计划。</w:t>
      </w:r>
    </w:p>
    <w:p>
      <w:pPr>
        <w:pStyle w:val="10"/>
        <w:numPr>
          <w:ilvl w:val="0"/>
          <w:numId w:val="69"/>
        </w:numPr>
        <w:tabs>
          <w:tab w:val="left" w:pos="902"/>
        </w:tabs>
        <w:spacing w:before="5" w:after="0" w:line="240" w:lineRule="auto"/>
        <w:ind w:left="901" w:right="0" w:hanging="362"/>
        <w:jc w:val="left"/>
        <w:rPr>
          <w:sz w:val="24"/>
        </w:rPr>
      </w:pPr>
      <w:r>
        <w:rPr>
          <w:sz w:val="24"/>
        </w:rPr>
        <w:t>开工和竣工</w:t>
      </w:r>
    </w:p>
    <w:p>
      <w:pPr>
        <w:pStyle w:val="10"/>
        <w:numPr>
          <w:ilvl w:val="1"/>
          <w:numId w:val="69"/>
        </w:numPr>
        <w:tabs>
          <w:tab w:val="left" w:pos="1081"/>
        </w:tabs>
        <w:spacing w:before="158" w:after="0" w:line="240" w:lineRule="auto"/>
        <w:ind w:left="1080" w:right="0" w:hanging="541"/>
        <w:jc w:val="left"/>
        <w:rPr>
          <w:sz w:val="24"/>
        </w:rPr>
      </w:pPr>
      <w:r>
        <w:rPr>
          <w:sz w:val="24"/>
        </w:rPr>
        <w:t>开工</w:t>
      </w:r>
    </w:p>
    <w:p>
      <w:pPr>
        <w:pStyle w:val="5"/>
        <w:spacing w:before="160"/>
        <w:jc w:val="both"/>
      </w:pPr>
      <w:r>
        <w:t>第 11.1.2 项补充：</w:t>
      </w:r>
    </w:p>
    <w:p>
      <w:pPr>
        <w:pStyle w:val="5"/>
        <w:spacing w:before="161" w:line="362" w:lineRule="auto"/>
        <w:ind w:right="639"/>
        <w:jc w:val="both"/>
      </w:pPr>
      <w:r>
        <w:t>承包人应在分部工程开工前 14 天向监理人提交分部工程开工报审表，若承包人的开工准备、工作计划和质量控制方法是可接受的且已获得批准，则经监理人书面同意，分部工程才能开工。</w:t>
      </w:r>
    </w:p>
    <w:p>
      <w:pPr>
        <w:pStyle w:val="10"/>
        <w:numPr>
          <w:ilvl w:val="1"/>
          <w:numId w:val="70"/>
        </w:numPr>
        <w:tabs>
          <w:tab w:val="left" w:pos="1081"/>
        </w:tabs>
        <w:spacing w:before="6" w:after="0" w:line="240" w:lineRule="auto"/>
        <w:ind w:left="1080" w:right="0" w:hanging="541"/>
        <w:jc w:val="both"/>
        <w:rPr>
          <w:sz w:val="24"/>
        </w:rPr>
      </w:pPr>
      <w:r>
        <w:rPr>
          <w:sz w:val="24"/>
        </w:rPr>
        <w:t>发包人的工期延误本款补充：</w:t>
      </w:r>
    </w:p>
    <w:p>
      <w:pPr>
        <w:pStyle w:val="5"/>
        <w:spacing w:before="160" w:line="362" w:lineRule="auto"/>
        <w:ind w:right="639"/>
      </w:pPr>
      <w:r>
        <w:t>即使由于上述原因造成工期延误，如果受影响的工程并非处在工程施工进度网络计划的关键线路上，则承包人无权要求延长总工期。</w:t>
      </w:r>
    </w:p>
    <w:p>
      <w:pPr>
        <w:pStyle w:val="10"/>
        <w:numPr>
          <w:ilvl w:val="1"/>
          <w:numId w:val="70"/>
        </w:numPr>
        <w:tabs>
          <w:tab w:val="left" w:pos="1081"/>
        </w:tabs>
        <w:spacing w:before="5" w:after="0" w:line="240" w:lineRule="auto"/>
        <w:ind w:left="1080" w:right="0" w:hanging="541"/>
        <w:jc w:val="left"/>
        <w:rPr>
          <w:sz w:val="24"/>
        </w:rPr>
      </w:pPr>
      <w:r>
        <w:rPr>
          <w:sz w:val="24"/>
        </w:rPr>
        <w:t>异常恶劣的气候条件本款补充：</w:t>
      </w:r>
    </w:p>
    <w:p>
      <w:pPr>
        <w:pStyle w:val="5"/>
        <w:spacing w:before="158" w:line="364" w:lineRule="auto"/>
        <w:ind w:right="639"/>
      </w:pPr>
      <w:r>
        <w:t>异常气候条件是指项目所在地 30 年一遇的罕见气候现象（包括温度、降水、降雪、风等）。异常恶劣的气候条件在项目专用合同条款中作具体规定。</w:t>
      </w:r>
    </w:p>
    <w:p>
      <w:pPr>
        <w:pStyle w:val="10"/>
        <w:numPr>
          <w:ilvl w:val="1"/>
          <w:numId w:val="70"/>
        </w:numPr>
        <w:tabs>
          <w:tab w:val="left" w:pos="1081"/>
        </w:tabs>
        <w:spacing w:before="0" w:after="0" w:line="306" w:lineRule="exact"/>
        <w:ind w:left="1080" w:right="0" w:hanging="541"/>
        <w:jc w:val="left"/>
        <w:rPr>
          <w:sz w:val="24"/>
        </w:rPr>
      </w:pPr>
      <w:r>
        <w:rPr>
          <w:sz w:val="24"/>
        </w:rPr>
        <w:t>承包人的工期延误本款细化为：</w:t>
      </w:r>
    </w:p>
    <w:p>
      <w:pPr>
        <w:pStyle w:val="10"/>
        <w:numPr>
          <w:ilvl w:val="0"/>
          <w:numId w:val="71"/>
        </w:numPr>
        <w:tabs>
          <w:tab w:val="left" w:pos="1142"/>
        </w:tabs>
        <w:spacing w:before="161" w:after="0" w:line="364" w:lineRule="auto"/>
        <w:ind w:left="540" w:right="639" w:firstLine="0"/>
        <w:jc w:val="both"/>
        <w:rPr>
          <w:sz w:val="24"/>
        </w:rPr>
      </w:pPr>
      <w:r>
        <w:rPr>
          <w:spacing w:val="-2"/>
          <w:sz w:val="24"/>
        </w:rPr>
        <w:t>承包人应严格执行监理人批准的合同进度计划，对工作量计划和形象进度计划分</w:t>
      </w:r>
      <w:r>
        <w:rPr>
          <w:spacing w:val="1"/>
          <w:sz w:val="24"/>
        </w:rPr>
        <w:t xml:space="preserve">别控制。除 </w:t>
      </w:r>
      <w:r>
        <w:rPr>
          <w:sz w:val="24"/>
        </w:rPr>
        <w:t>11.3 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 并承担加快进度所增加的费用。</w:t>
      </w:r>
    </w:p>
    <w:p>
      <w:pPr>
        <w:pStyle w:val="10"/>
        <w:numPr>
          <w:ilvl w:val="0"/>
          <w:numId w:val="71"/>
        </w:numPr>
        <w:tabs>
          <w:tab w:val="left" w:pos="1142"/>
        </w:tabs>
        <w:spacing w:before="0" w:after="0" w:line="364" w:lineRule="auto"/>
        <w:ind w:left="540" w:right="639" w:firstLine="0"/>
        <w:jc w:val="both"/>
        <w:rPr>
          <w:sz w:val="24"/>
        </w:rPr>
      </w:pPr>
      <w:r>
        <w:rPr>
          <w:sz w:val="24"/>
        </w:rPr>
        <w:t>如果承包人在接到监理人通知后的 14</w:t>
      </w:r>
      <w:r>
        <w:rPr>
          <w:spacing w:val="-6"/>
          <w:sz w:val="24"/>
        </w:rPr>
        <w:t xml:space="preserve"> 天内，未能采取加快工程进度的措施，致使</w:t>
      </w:r>
      <w:r>
        <w:rPr>
          <w:sz w:val="24"/>
        </w:rPr>
        <w:t>实际工程进度进一步滞后，或承包人虽采取了一些措施，仍无法按预计工期交工时，监理人应立即通知发包人。发包人在向承包人发出书面警告通知 14 天后，发</w:t>
      </w:r>
    </w:p>
    <w:p>
      <w:pPr>
        <w:pStyle w:val="5"/>
        <w:spacing w:line="364" w:lineRule="auto"/>
        <w:ind w:right="639"/>
        <w:jc w:val="both"/>
      </w:pPr>
      <w:r>
        <w:t>包人可按第 22.1 款终止对承包人的雇用，也可将本合同工程中的一部分工作交由其他承包人或其他分包人完成。在不解除本合同规定的承包人责任和义务的同时，承包人应承担因此所增加的一切费用。</w:t>
      </w:r>
    </w:p>
    <w:p>
      <w:pPr>
        <w:spacing w:after="0" w:line="364" w:lineRule="auto"/>
        <w:jc w:val="both"/>
        <w:sectPr>
          <w:pgSz w:w="11910" w:h="16840"/>
          <w:pgMar w:top="1380" w:right="720" w:bottom="1080" w:left="820" w:header="746" w:footer="891" w:gutter="0"/>
          <w:cols w:space="720" w:num="1"/>
        </w:sectPr>
      </w:pPr>
    </w:p>
    <w:p>
      <w:pPr>
        <w:pStyle w:val="5"/>
        <w:spacing w:before="61" w:line="364" w:lineRule="auto"/>
        <w:ind w:right="637"/>
        <w:jc w:val="both"/>
      </w:pPr>
      <w:r>
        <w:rPr>
          <w:spacing w:val="-7"/>
        </w:rPr>
        <w:t>（2）</w:t>
      </w:r>
      <w:r>
        <w:rPr>
          <w:spacing w:val="-4"/>
        </w:rPr>
        <w:t>由于承包人原因造成工期延误，承包人应支付逾期交工违约金。逾期交工违约金的</w:t>
      </w:r>
      <w:r>
        <w:t>计算方法在项目专用合同条款数据表中约定，时间自预定的交工日期起到交工验收证书</w:t>
      </w:r>
      <w:r>
        <w:rPr>
          <w:spacing w:val="1"/>
        </w:rPr>
        <w:t>为：每逾期一天支付   人民币</w:t>
      </w:r>
      <w:r>
        <w:t>（在项目专用合同条款中约定），时间自预定的竣工日期起到工程接收证书中写明的实际竣工日期止（扣除已批准的延长工期），按天计算。</w:t>
      </w:r>
      <w:r>
        <w:rPr>
          <w:spacing w:val="2"/>
        </w:rPr>
        <w:t xml:space="preserve">逾期竣工违约金累计金额最高不超过签约合同价的 </w:t>
      </w:r>
      <w:r>
        <w:t>10%。发包人可以从应付或到期应付给承包人的任何款项中或采用其他方法扣除此违约金。</w:t>
      </w:r>
    </w:p>
    <w:p>
      <w:pPr>
        <w:pStyle w:val="5"/>
        <w:spacing w:line="304" w:lineRule="exact"/>
      </w:pPr>
      <w:r>
        <w:t>承包人支付逾期竣工建约金，不免除承包人完成工程及修补缺陷的义务。</w:t>
      </w:r>
    </w:p>
    <w:p>
      <w:pPr>
        <w:pStyle w:val="5"/>
        <w:spacing w:before="160" w:line="364" w:lineRule="auto"/>
        <w:ind w:right="639"/>
        <w:jc w:val="both"/>
      </w:pPr>
      <w:r>
        <w:t>如果在合同工作完工之前，已对合同工程内按时完工的单位工程签发了工程接收证书， 则合同工程的逾期竣工违约金，应按已签发工程接收证书的单位工程的价值占合同工程价值的比例予以减少，但本规定不应影响逾期竣工违约金的规定限额。</w:t>
      </w:r>
    </w:p>
    <w:p>
      <w:pPr>
        <w:pStyle w:val="10"/>
        <w:numPr>
          <w:ilvl w:val="1"/>
          <w:numId w:val="70"/>
        </w:numPr>
        <w:tabs>
          <w:tab w:val="left" w:pos="1081"/>
        </w:tabs>
        <w:spacing w:before="0" w:after="0" w:line="305" w:lineRule="exact"/>
        <w:ind w:left="1080" w:right="0" w:hanging="541"/>
        <w:jc w:val="both"/>
        <w:rPr>
          <w:sz w:val="24"/>
        </w:rPr>
      </w:pPr>
      <w:r>
        <w:rPr>
          <w:sz w:val="24"/>
        </w:rPr>
        <w:t>工期提前本款补充：</w:t>
      </w:r>
    </w:p>
    <w:p>
      <w:pPr>
        <w:pStyle w:val="5"/>
        <w:spacing w:before="161" w:line="364" w:lineRule="auto"/>
        <w:ind w:right="639"/>
      </w:pPr>
      <w:r>
        <w:t>发包人不得随意要求承包人提前交工，承包人也不得随意提出提前交工的建议。如遇特殊情况，确需将工期提前的，发包人和承包人必须采取有效措施，确保工程质量。</w:t>
      </w:r>
    </w:p>
    <w:p>
      <w:pPr>
        <w:pStyle w:val="5"/>
        <w:spacing w:line="306" w:lineRule="exact"/>
      </w:pPr>
      <w:r>
        <w:t>如果承包人提前交工，发包人支付奖金的计算方法在项目专用合同条款数据表中</w:t>
      </w:r>
    </w:p>
    <w:p>
      <w:pPr>
        <w:pStyle w:val="5"/>
        <w:spacing w:before="160" w:line="362" w:lineRule="auto"/>
        <w:ind w:right="639"/>
      </w:pPr>
      <w:r>
        <w:t>约定，时间自交工验收证书中写明的实际交工日期起至预定的交工日期止，按天计算。但奖金最高限额不超过项目专用合同条款数据表中写明的限额。</w:t>
      </w:r>
    </w:p>
    <w:p>
      <w:pPr>
        <w:pStyle w:val="5"/>
        <w:spacing w:before="5"/>
      </w:pPr>
      <w:r>
        <w:t>补充 11.7 款：</w:t>
      </w:r>
    </w:p>
    <w:p>
      <w:pPr>
        <w:pStyle w:val="10"/>
        <w:numPr>
          <w:ilvl w:val="1"/>
          <w:numId w:val="70"/>
        </w:numPr>
        <w:tabs>
          <w:tab w:val="left" w:pos="1081"/>
        </w:tabs>
        <w:spacing w:before="158" w:after="0" w:line="240" w:lineRule="auto"/>
        <w:ind w:left="1080" w:right="0" w:hanging="541"/>
        <w:jc w:val="left"/>
        <w:rPr>
          <w:sz w:val="24"/>
        </w:rPr>
      </w:pPr>
      <w:r>
        <w:rPr>
          <w:sz w:val="24"/>
        </w:rPr>
        <w:t>工作时间的限制</w:t>
      </w:r>
    </w:p>
    <w:p>
      <w:pPr>
        <w:pStyle w:val="5"/>
        <w:spacing w:before="161" w:line="362" w:lineRule="auto"/>
        <w:ind w:right="639"/>
      </w:pPr>
      <w:r>
        <w:t>承包人在夜间或国家规定的节假日进行永久工程的施工，应向监理人报告，以便监理人履行监理人履行监理职责和义务。</w:t>
      </w:r>
    </w:p>
    <w:p>
      <w:pPr>
        <w:pStyle w:val="5"/>
        <w:spacing w:before="4" w:line="362" w:lineRule="auto"/>
        <w:ind w:right="639"/>
      </w:pPr>
      <w:r>
        <w:t>但是，为了抢救生命或保护财产，或为了工程的安全、质量而不可避免地短暂作业，则不必事先向监理人报告。但承包人应在事后立即向监理人报告。</w:t>
      </w:r>
    </w:p>
    <w:p>
      <w:pPr>
        <w:pStyle w:val="5"/>
        <w:spacing w:before="5" w:line="364" w:lineRule="auto"/>
        <w:ind w:right="3104"/>
      </w:pPr>
      <w:r>
        <w:t>本款规定不适用于习惯上或施工本身要求实行连续生产的作业。12.暂停施工</w:t>
      </w:r>
    </w:p>
    <w:p>
      <w:pPr>
        <w:pStyle w:val="5"/>
        <w:spacing w:line="306" w:lineRule="exact"/>
      </w:pPr>
      <w:r>
        <w:t>12.1 承包人暂停施工的责任本款第（5）项细化为：</w:t>
      </w:r>
    </w:p>
    <w:p>
      <w:pPr>
        <w:pStyle w:val="10"/>
        <w:numPr>
          <w:ilvl w:val="0"/>
          <w:numId w:val="72"/>
        </w:numPr>
        <w:tabs>
          <w:tab w:val="left" w:pos="1142"/>
        </w:tabs>
        <w:spacing w:before="159" w:after="0" w:line="240" w:lineRule="auto"/>
        <w:ind w:left="1141" w:right="0" w:hanging="602"/>
        <w:jc w:val="left"/>
        <w:rPr>
          <w:sz w:val="24"/>
        </w:rPr>
      </w:pPr>
      <w:r>
        <w:rPr>
          <w:sz w:val="24"/>
        </w:rPr>
        <w:t>现场气候条件导致的必要停工（第 11.4 款规定的异常恶劣的气候条件除外）；</w:t>
      </w:r>
    </w:p>
    <w:p>
      <w:pPr>
        <w:pStyle w:val="10"/>
        <w:numPr>
          <w:ilvl w:val="0"/>
          <w:numId w:val="72"/>
        </w:numPr>
        <w:tabs>
          <w:tab w:val="left" w:pos="1142"/>
        </w:tabs>
        <w:spacing w:before="160" w:after="0" w:line="362" w:lineRule="auto"/>
        <w:ind w:left="540" w:right="3224" w:firstLine="0"/>
        <w:jc w:val="left"/>
        <w:rPr>
          <w:sz w:val="24"/>
        </w:rPr>
      </w:pPr>
      <w:r>
        <w:rPr>
          <w:spacing w:val="-1"/>
          <w:sz w:val="24"/>
        </w:rPr>
        <w:t>项目专用合同条款约定的由承包人承担的其他暂停施工。</w:t>
      </w:r>
      <w:r>
        <w:rPr>
          <w:sz w:val="24"/>
        </w:rPr>
        <w:t>13.工程质量</w:t>
      </w:r>
    </w:p>
    <w:p>
      <w:pPr>
        <w:pStyle w:val="10"/>
        <w:numPr>
          <w:ilvl w:val="1"/>
          <w:numId w:val="73"/>
        </w:numPr>
        <w:tabs>
          <w:tab w:val="left" w:pos="1081"/>
        </w:tabs>
        <w:spacing w:before="5" w:after="0" w:line="240" w:lineRule="auto"/>
        <w:ind w:left="1080" w:right="0" w:hanging="541"/>
        <w:jc w:val="left"/>
        <w:rPr>
          <w:sz w:val="24"/>
        </w:rPr>
      </w:pPr>
      <w:r>
        <w:rPr>
          <w:sz w:val="24"/>
        </w:rPr>
        <w:t>工程质量要求</w:t>
      </w:r>
    </w:p>
    <w:p>
      <w:pPr>
        <w:pStyle w:val="5"/>
        <w:spacing w:before="161"/>
      </w:pPr>
      <w:r>
        <w:t>第 13.1.1 项约定为：</w:t>
      </w:r>
    </w:p>
    <w:p>
      <w:pPr>
        <w:spacing w:after="0"/>
        <w:sectPr>
          <w:footerReference r:id="rId13" w:type="default"/>
          <w:pgSz w:w="11910" w:h="16840"/>
          <w:pgMar w:top="1380" w:right="720" w:bottom="1080" w:left="820" w:header="746" w:footer="891" w:gutter="0"/>
          <w:pgNumType w:start="60"/>
          <w:cols w:space="720" w:num="1"/>
        </w:sectPr>
      </w:pPr>
    </w:p>
    <w:p>
      <w:pPr>
        <w:pStyle w:val="5"/>
        <w:spacing w:before="61"/>
      </w:pPr>
      <w:r>
        <w:t>工程质量验收按技术规范及《公路工程质量检验评定标准》执行。本款补充第 13.1.4 和</w:t>
      </w:r>
    </w:p>
    <w:p>
      <w:pPr>
        <w:pStyle w:val="5"/>
        <w:spacing w:before="160"/>
      </w:pPr>
      <w:r>
        <w:t>13.1.5 项：</w:t>
      </w:r>
    </w:p>
    <w:p>
      <w:pPr>
        <w:pStyle w:val="10"/>
        <w:numPr>
          <w:ilvl w:val="2"/>
          <w:numId w:val="74"/>
        </w:numPr>
        <w:tabs>
          <w:tab w:val="left" w:pos="1321"/>
        </w:tabs>
        <w:spacing w:before="158" w:after="0" w:line="364" w:lineRule="auto"/>
        <w:ind w:left="540" w:right="639" w:firstLine="0"/>
        <w:jc w:val="left"/>
        <w:rPr>
          <w:sz w:val="24"/>
        </w:rPr>
      </w:pPr>
      <w:r>
        <w:rPr>
          <w:spacing w:val="-1"/>
          <w:sz w:val="24"/>
        </w:rPr>
        <w:t>发包人和成博爱人应严格遵守《关于严格落实公路工程质量责任制的若干意见》</w:t>
      </w:r>
      <w:r>
        <w:rPr>
          <w:sz w:val="24"/>
        </w:rPr>
        <w:t>的相关规定，认真执行工程质量责任登记制度并按要求填写工程质量责任登记表。</w:t>
      </w:r>
    </w:p>
    <w:p>
      <w:pPr>
        <w:pStyle w:val="10"/>
        <w:numPr>
          <w:ilvl w:val="2"/>
          <w:numId w:val="74"/>
        </w:numPr>
        <w:tabs>
          <w:tab w:val="left" w:pos="1321"/>
        </w:tabs>
        <w:spacing w:before="0" w:after="0" w:line="306" w:lineRule="exact"/>
        <w:ind w:left="1320" w:right="0" w:hanging="781"/>
        <w:jc w:val="left"/>
        <w:rPr>
          <w:sz w:val="24"/>
        </w:rPr>
      </w:pPr>
      <w:r>
        <w:rPr>
          <w:sz w:val="24"/>
        </w:rPr>
        <w:t>本项目严格执行质量责任追究制度。质量事故处理实行“四不放过”原</w:t>
      </w:r>
    </w:p>
    <w:p>
      <w:pPr>
        <w:pStyle w:val="5"/>
        <w:spacing w:before="161" w:line="362" w:lineRule="auto"/>
        <w:ind w:right="519"/>
      </w:pPr>
      <w:r>
        <w:rPr>
          <w:spacing w:val="-8"/>
        </w:rPr>
        <w:t xml:space="preserve">则：事故原因调查不清不放过；事故责任者没有受到教育不放过；没有防范措施不放过； </w:t>
      </w:r>
      <w:r>
        <w:t>相关责任人没受到处理不放过。</w:t>
      </w:r>
    </w:p>
    <w:p>
      <w:pPr>
        <w:pStyle w:val="10"/>
        <w:numPr>
          <w:ilvl w:val="1"/>
          <w:numId w:val="73"/>
        </w:numPr>
        <w:tabs>
          <w:tab w:val="left" w:pos="1081"/>
        </w:tabs>
        <w:spacing w:before="5" w:after="0" w:line="240" w:lineRule="auto"/>
        <w:ind w:left="1080" w:right="0" w:hanging="541"/>
        <w:jc w:val="left"/>
        <w:rPr>
          <w:sz w:val="24"/>
        </w:rPr>
      </w:pPr>
      <w:r>
        <w:rPr>
          <w:sz w:val="24"/>
        </w:rPr>
        <w:t>承包人的质量管理第 13.2.1 项补充：</w:t>
      </w:r>
    </w:p>
    <w:p>
      <w:pPr>
        <w:pStyle w:val="5"/>
        <w:spacing w:before="160"/>
      </w:pPr>
      <w:r>
        <w:t>承包人提交工程质量保证措施文件的期限：签订合同协议书后 28 天之内。</w:t>
      </w:r>
    </w:p>
    <w:p>
      <w:pPr>
        <w:pStyle w:val="5"/>
        <w:spacing w:before="158"/>
      </w:pPr>
      <w:r>
        <w:t>本款补充第 13.2.3 项～第 13.2.6 项：</w:t>
      </w:r>
    </w:p>
    <w:p>
      <w:pPr>
        <w:pStyle w:val="10"/>
        <w:numPr>
          <w:ilvl w:val="2"/>
          <w:numId w:val="75"/>
        </w:numPr>
        <w:tabs>
          <w:tab w:val="left" w:pos="1321"/>
        </w:tabs>
        <w:spacing w:before="158" w:after="0" w:line="364" w:lineRule="auto"/>
        <w:ind w:left="540" w:right="519" w:firstLine="0"/>
        <w:jc w:val="left"/>
        <w:rPr>
          <w:sz w:val="24"/>
        </w:rPr>
      </w:pPr>
      <w:r>
        <w:rPr>
          <w:spacing w:val="-9"/>
          <w:sz w:val="24"/>
        </w:rPr>
        <w:t>承包人必须遵守国家有关法律、法规和规章，严格执行公路工程强制性技术标准、</w:t>
      </w:r>
      <w:r>
        <w:rPr>
          <w:sz w:val="24"/>
        </w:rPr>
        <w:t>各类技术规范及规程，全面履行工程合同义务，依法对公路工程质量负责。</w:t>
      </w:r>
    </w:p>
    <w:p>
      <w:pPr>
        <w:pStyle w:val="10"/>
        <w:numPr>
          <w:ilvl w:val="2"/>
          <w:numId w:val="75"/>
        </w:numPr>
        <w:tabs>
          <w:tab w:val="left" w:pos="1321"/>
        </w:tabs>
        <w:spacing w:before="1" w:after="0" w:line="362" w:lineRule="auto"/>
        <w:ind w:left="540" w:right="639" w:firstLine="0"/>
        <w:jc w:val="left"/>
        <w:rPr>
          <w:sz w:val="24"/>
        </w:rPr>
      </w:pPr>
      <w:r>
        <w:rPr>
          <w:spacing w:val="-1"/>
          <w:sz w:val="24"/>
        </w:rPr>
        <w:t>承包人应加强质量监控，确保规范规定的检验、抽检频率，现场质检的原始资料</w:t>
      </w:r>
      <w:r>
        <w:rPr>
          <w:sz w:val="24"/>
        </w:rPr>
        <w:t>必须真实、准确、可靠，不得追记，接受质量检查时必须出示原始资料。</w:t>
      </w:r>
    </w:p>
    <w:p>
      <w:pPr>
        <w:pStyle w:val="10"/>
        <w:numPr>
          <w:ilvl w:val="2"/>
          <w:numId w:val="75"/>
        </w:numPr>
        <w:tabs>
          <w:tab w:val="left" w:pos="1321"/>
        </w:tabs>
        <w:spacing w:before="5" w:after="0" w:line="364" w:lineRule="auto"/>
        <w:ind w:left="540" w:right="639" w:firstLine="0"/>
        <w:jc w:val="both"/>
        <w:rPr>
          <w:sz w:val="24"/>
        </w:rPr>
      </w:pPr>
      <w:r>
        <w:rPr>
          <w:spacing w:val="-1"/>
          <w:sz w:val="24"/>
        </w:rPr>
        <w:t>承包人必须完善检验手段，根据技术规范的规定配齐检测和试验仪器、仪表，并</w:t>
      </w:r>
      <w:r>
        <w:rPr>
          <w:sz w:val="24"/>
        </w:rPr>
        <w:t>应及时校正确保其精度；根据合同要求加强工地试验室的管理；加强标准计量基础工作和材料检验工作，不得违规计量，不合格材料严禁用于本工程。</w:t>
      </w:r>
    </w:p>
    <w:p>
      <w:pPr>
        <w:pStyle w:val="10"/>
        <w:numPr>
          <w:ilvl w:val="2"/>
          <w:numId w:val="75"/>
        </w:numPr>
        <w:tabs>
          <w:tab w:val="left" w:pos="1321"/>
        </w:tabs>
        <w:spacing w:before="0" w:after="0" w:line="364" w:lineRule="auto"/>
        <w:ind w:left="540" w:right="639" w:firstLine="0"/>
        <w:jc w:val="both"/>
        <w:rPr>
          <w:sz w:val="24"/>
        </w:rPr>
      </w:pPr>
      <w:r>
        <w:rPr>
          <w:spacing w:val="-1"/>
          <w:sz w:val="24"/>
        </w:rPr>
        <w:t>承包人驻工程现场机构应在现场驻地和汇总要的分部、分项工程施工现场设置明</w:t>
      </w:r>
      <w:r>
        <w:rPr>
          <w:sz w:val="24"/>
        </w:rPr>
        <w:t>显的工程质量责任登记表公示牌。</w:t>
      </w:r>
    </w:p>
    <w:p>
      <w:pPr>
        <w:pStyle w:val="10"/>
        <w:numPr>
          <w:ilvl w:val="1"/>
          <w:numId w:val="76"/>
        </w:numPr>
        <w:tabs>
          <w:tab w:val="left" w:pos="1081"/>
        </w:tabs>
        <w:spacing w:before="0" w:after="0" w:line="306" w:lineRule="exact"/>
        <w:ind w:left="1080" w:right="0" w:hanging="541"/>
        <w:jc w:val="both"/>
        <w:rPr>
          <w:sz w:val="24"/>
        </w:rPr>
      </w:pPr>
      <w:r>
        <w:rPr>
          <w:sz w:val="24"/>
        </w:rPr>
        <w:t>监理人的质量检查本款补充：</w:t>
      </w:r>
    </w:p>
    <w:p>
      <w:pPr>
        <w:pStyle w:val="5"/>
        <w:spacing w:before="158" w:line="364" w:lineRule="auto"/>
        <w:ind w:right="639"/>
        <w:jc w:val="both"/>
      </w:pPr>
      <w:r>
        <w:t>监理人及其委派的检验人员，应能进入工程现场，以及材料或工程设备的制造、加工或制配的车间和场所，包括不属于承包人的车间或场所进行检查，承包人应为此提供便利和协助。</w:t>
      </w:r>
    </w:p>
    <w:p>
      <w:pPr>
        <w:pStyle w:val="5"/>
        <w:spacing w:line="362" w:lineRule="auto"/>
        <w:ind w:right="639"/>
        <w:jc w:val="both"/>
      </w:pPr>
      <w:r>
        <w:t>监理人可以将材料或工程设备的检查委托给一家独立的有质量检验认证资格的检验单位。该独立检验单位的检验结果应视为监理人完成的。监理人应将这种委托的通知书不少于 7 天交给承包人。</w:t>
      </w:r>
    </w:p>
    <w:p>
      <w:pPr>
        <w:pStyle w:val="10"/>
        <w:numPr>
          <w:ilvl w:val="1"/>
          <w:numId w:val="76"/>
        </w:numPr>
        <w:tabs>
          <w:tab w:val="left" w:pos="1081"/>
        </w:tabs>
        <w:spacing w:before="6" w:after="0" w:line="240" w:lineRule="auto"/>
        <w:ind w:left="1080" w:right="0" w:hanging="541"/>
        <w:jc w:val="both"/>
        <w:rPr>
          <w:sz w:val="24"/>
        </w:rPr>
      </w:pPr>
      <w:r>
        <w:rPr>
          <w:sz w:val="24"/>
        </w:rPr>
        <w:t>工程隐蔽部位覆盖前的检查第 13.5.1 项补充：</w:t>
      </w:r>
    </w:p>
    <w:p>
      <w:pPr>
        <w:pStyle w:val="5"/>
        <w:spacing w:before="158" w:line="364" w:lineRule="auto"/>
        <w:ind w:right="639"/>
        <w:jc w:val="both"/>
      </w:pPr>
      <w:r>
        <w:t>当监理人有指示时，承包人应对重要隐蔽工程进行拍摄或照相并应保证监理人有充分的机会对将要覆盖或隐蔽的工程进行检查或量测，特别是在基础以上的任一部分工程修筑之前，对该基础进行检查。</w:t>
      </w:r>
    </w:p>
    <w:p>
      <w:pPr>
        <w:spacing w:after="0" w:line="364" w:lineRule="auto"/>
        <w:jc w:val="both"/>
        <w:sectPr>
          <w:pgSz w:w="11910" w:h="16840"/>
          <w:pgMar w:top="1380" w:right="720" w:bottom="1080" w:left="820" w:header="746" w:footer="891" w:gutter="0"/>
          <w:cols w:space="720" w:num="1"/>
        </w:sectPr>
      </w:pPr>
    </w:p>
    <w:p>
      <w:pPr>
        <w:pStyle w:val="10"/>
        <w:numPr>
          <w:ilvl w:val="1"/>
          <w:numId w:val="76"/>
        </w:numPr>
        <w:tabs>
          <w:tab w:val="left" w:pos="1081"/>
        </w:tabs>
        <w:spacing w:before="61" w:after="0" w:line="364" w:lineRule="auto"/>
        <w:ind w:left="540" w:right="7424" w:firstLine="0"/>
        <w:jc w:val="both"/>
        <w:rPr>
          <w:sz w:val="24"/>
        </w:rPr>
      </w:pPr>
      <w:r>
        <w:rPr>
          <w:sz w:val="24"/>
        </w:rPr>
        <w:t>清除不合格工程第 13.6.1</w:t>
      </w:r>
      <w:r>
        <w:rPr>
          <w:spacing w:val="-3"/>
          <w:sz w:val="24"/>
        </w:rPr>
        <w:t xml:space="preserve"> 项细化为：</w:t>
      </w:r>
    </w:p>
    <w:p>
      <w:pPr>
        <w:pStyle w:val="10"/>
        <w:numPr>
          <w:ilvl w:val="0"/>
          <w:numId w:val="77"/>
        </w:numPr>
        <w:tabs>
          <w:tab w:val="left" w:pos="1146"/>
        </w:tabs>
        <w:spacing w:before="0" w:after="0" w:line="364" w:lineRule="auto"/>
        <w:ind w:left="540" w:right="639" w:firstLine="0"/>
        <w:jc w:val="both"/>
        <w:rPr>
          <w:sz w:val="24"/>
        </w:rPr>
      </w:pPr>
      <w:r>
        <w:rPr>
          <w:sz w:val="24"/>
        </w:rPr>
        <w:t>承包人使用不合格材料、工程设备，或采用不适当的施工工艺，或施工不 当，造成工程不合格的，监理人可以随时发出指示，要求承包人立即采取措施进行替换、补救或拆除重建，直至达到合同要求的质量标准，由此增加的费用和（或）工期延误由承包人承担。</w:t>
      </w:r>
    </w:p>
    <w:p>
      <w:pPr>
        <w:pStyle w:val="10"/>
        <w:numPr>
          <w:ilvl w:val="0"/>
          <w:numId w:val="77"/>
        </w:numPr>
        <w:tabs>
          <w:tab w:val="left" w:pos="1146"/>
        </w:tabs>
        <w:spacing w:before="0" w:after="0" w:line="364" w:lineRule="auto"/>
        <w:ind w:left="540" w:right="639" w:firstLine="0"/>
        <w:jc w:val="both"/>
        <w:rPr>
          <w:sz w:val="24"/>
        </w:rPr>
      </w:pPr>
      <w:r>
        <w:rPr>
          <w:sz w:val="24"/>
        </w:rPr>
        <w:t>如果承包人未在规定时间内执行监理人的指示，发包人有权雇用他人执行， 由此增加的费用和（或）工期延误由承包人承担。</w:t>
      </w:r>
    </w:p>
    <w:p>
      <w:pPr>
        <w:pStyle w:val="10"/>
        <w:numPr>
          <w:ilvl w:val="0"/>
          <w:numId w:val="78"/>
        </w:numPr>
        <w:tabs>
          <w:tab w:val="left" w:pos="902"/>
        </w:tabs>
        <w:spacing w:before="0" w:after="0" w:line="240" w:lineRule="auto"/>
        <w:ind w:left="901" w:right="0" w:hanging="362"/>
        <w:jc w:val="left"/>
        <w:rPr>
          <w:sz w:val="24"/>
        </w:rPr>
      </w:pPr>
      <w:r>
        <w:rPr>
          <w:sz w:val="24"/>
        </w:rPr>
        <w:t>试验和检验</w:t>
      </w:r>
    </w:p>
    <w:p>
      <w:pPr>
        <w:pStyle w:val="5"/>
        <w:spacing w:before="155"/>
      </w:pPr>
      <w:r>
        <w:t>补充第 14.4 款：</w:t>
      </w:r>
    </w:p>
    <w:p>
      <w:pPr>
        <w:pStyle w:val="5"/>
        <w:spacing w:before="158"/>
      </w:pPr>
      <w:r>
        <w:t>14．4 试验和检验费用</w:t>
      </w:r>
    </w:p>
    <w:p>
      <w:pPr>
        <w:pStyle w:val="10"/>
        <w:numPr>
          <w:ilvl w:val="0"/>
          <w:numId w:val="79"/>
        </w:numPr>
        <w:tabs>
          <w:tab w:val="left" w:pos="1142"/>
        </w:tabs>
        <w:spacing w:before="161" w:after="0" w:line="364" w:lineRule="auto"/>
        <w:ind w:left="540" w:right="639" w:firstLine="0"/>
        <w:jc w:val="left"/>
        <w:rPr>
          <w:sz w:val="24"/>
        </w:rPr>
      </w:pPr>
      <w:r>
        <w:rPr>
          <w:spacing w:val="-1"/>
          <w:sz w:val="24"/>
        </w:rPr>
        <w:t>承包人应负责提供合同和技术规范规定的试验和检验所需的全部样品，并承担其</w:t>
      </w:r>
      <w:r>
        <w:rPr>
          <w:spacing w:val="-6"/>
          <w:sz w:val="24"/>
        </w:rPr>
        <w:t>费用。</w:t>
      </w:r>
    </w:p>
    <w:p>
      <w:pPr>
        <w:pStyle w:val="10"/>
        <w:numPr>
          <w:ilvl w:val="0"/>
          <w:numId w:val="79"/>
        </w:numPr>
        <w:tabs>
          <w:tab w:val="left" w:pos="1142"/>
        </w:tabs>
        <w:spacing w:before="0" w:after="0" w:line="364" w:lineRule="auto"/>
        <w:ind w:left="540" w:right="639" w:firstLine="0"/>
        <w:jc w:val="left"/>
        <w:rPr>
          <w:sz w:val="24"/>
        </w:rPr>
      </w:pPr>
      <w:r>
        <w:rPr>
          <w:spacing w:val="-2"/>
          <w:sz w:val="24"/>
        </w:rPr>
        <w:t>在合同中明确规定的试验和检验，包括无须在工程量清单中单独列项和已在工程</w:t>
      </w:r>
      <w:r>
        <w:rPr>
          <w:spacing w:val="-4"/>
          <w:sz w:val="24"/>
        </w:rPr>
        <w:t>量清单中单独列项的试验和检验，其试验和检验的费用由承包人承担。</w:t>
      </w:r>
    </w:p>
    <w:p>
      <w:pPr>
        <w:pStyle w:val="10"/>
        <w:numPr>
          <w:ilvl w:val="0"/>
          <w:numId w:val="79"/>
        </w:numPr>
        <w:tabs>
          <w:tab w:val="left" w:pos="1156"/>
        </w:tabs>
        <w:spacing w:before="0" w:after="0" w:line="364" w:lineRule="auto"/>
        <w:ind w:left="540" w:right="639" w:firstLine="0"/>
        <w:jc w:val="both"/>
        <w:rPr>
          <w:sz w:val="24"/>
        </w:rPr>
      </w:pPr>
      <w:r>
        <w:rPr>
          <w:spacing w:val="3"/>
          <w:sz w:val="24"/>
        </w:rPr>
        <w:t>如果监理人所要求做的试验和检验为合同未规定的或是在该材料或工程设备的制造、加工、制配场地以外的场地进行的，则检验结束后，如表明操作工艺或材料、工程设备未能符合合同规定，其费用应由承包人承担，否则，其费用应由发包人承担。</w:t>
      </w:r>
    </w:p>
    <w:p>
      <w:pPr>
        <w:pStyle w:val="10"/>
        <w:numPr>
          <w:ilvl w:val="0"/>
          <w:numId w:val="78"/>
        </w:numPr>
        <w:tabs>
          <w:tab w:val="left" w:pos="902"/>
        </w:tabs>
        <w:spacing w:before="0" w:after="0" w:line="307" w:lineRule="exact"/>
        <w:ind w:left="901" w:right="0" w:hanging="362"/>
        <w:jc w:val="left"/>
        <w:rPr>
          <w:sz w:val="24"/>
        </w:rPr>
      </w:pPr>
      <w:r>
        <w:rPr>
          <w:sz w:val="24"/>
        </w:rPr>
        <w:t>变更</w:t>
      </w:r>
    </w:p>
    <w:p>
      <w:pPr>
        <w:pStyle w:val="10"/>
        <w:numPr>
          <w:ilvl w:val="1"/>
          <w:numId w:val="78"/>
        </w:numPr>
        <w:tabs>
          <w:tab w:val="left" w:pos="1081"/>
        </w:tabs>
        <w:spacing w:before="155" w:after="0" w:line="364" w:lineRule="auto"/>
        <w:ind w:left="540" w:right="7304" w:firstLine="0"/>
        <w:jc w:val="left"/>
        <w:rPr>
          <w:sz w:val="24"/>
        </w:rPr>
      </w:pPr>
      <w:r>
        <w:rPr>
          <w:sz w:val="24"/>
        </w:rPr>
        <w:t>变更的范围和内容本款第（1）</w:t>
      </w:r>
      <w:r>
        <w:rPr>
          <w:spacing w:val="-4"/>
          <w:sz w:val="24"/>
        </w:rPr>
        <w:t>项细化为：</w:t>
      </w:r>
    </w:p>
    <w:p>
      <w:pPr>
        <w:pStyle w:val="5"/>
        <w:spacing w:line="364" w:lineRule="auto"/>
        <w:ind w:right="639"/>
      </w:pPr>
      <w:r>
        <w:t>（1）取消合同中任何一项工作，但被取消的工作不能转由发包人或其他人实施， 由于承包人违约造成的情况除外；</w:t>
      </w:r>
    </w:p>
    <w:p>
      <w:pPr>
        <w:pStyle w:val="10"/>
        <w:numPr>
          <w:ilvl w:val="1"/>
          <w:numId w:val="80"/>
        </w:numPr>
        <w:tabs>
          <w:tab w:val="left" w:pos="1081"/>
        </w:tabs>
        <w:spacing w:before="0" w:after="0" w:line="240" w:lineRule="auto"/>
        <w:ind w:left="1080" w:right="0" w:hanging="541"/>
        <w:jc w:val="left"/>
        <w:rPr>
          <w:sz w:val="24"/>
        </w:rPr>
      </w:pPr>
      <w:r>
        <w:rPr>
          <w:sz w:val="24"/>
        </w:rPr>
        <w:t>变更程序</w:t>
      </w:r>
    </w:p>
    <w:p>
      <w:pPr>
        <w:pStyle w:val="5"/>
        <w:spacing w:before="159"/>
      </w:pPr>
      <w:r>
        <w:t>本款补充第 15.3.4 项：</w:t>
      </w:r>
    </w:p>
    <w:p>
      <w:pPr>
        <w:pStyle w:val="5"/>
        <w:spacing w:before="158"/>
      </w:pPr>
      <w:r>
        <w:t>15.3.4 设计变更程序应执行《公路工程设计变更管理办法》的相关规定。</w:t>
      </w:r>
    </w:p>
    <w:p>
      <w:pPr>
        <w:pStyle w:val="10"/>
        <w:numPr>
          <w:ilvl w:val="1"/>
          <w:numId w:val="80"/>
        </w:numPr>
        <w:tabs>
          <w:tab w:val="left" w:pos="1081"/>
        </w:tabs>
        <w:spacing w:before="160" w:after="0" w:line="240" w:lineRule="auto"/>
        <w:ind w:left="1080" w:right="0" w:hanging="541"/>
        <w:jc w:val="left"/>
        <w:rPr>
          <w:sz w:val="24"/>
        </w:rPr>
      </w:pPr>
      <w:r>
        <w:rPr>
          <w:sz w:val="24"/>
        </w:rPr>
        <w:t>变更的估价原则本款细化为</w:t>
      </w:r>
    </w:p>
    <w:p>
      <w:pPr>
        <w:pStyle w:val="5"/>
        <w:spacing w:before="158"/>
      </w:pPr>
      <w:r>
        <w:t>除项目专用合同条款另有约定外，因变更引起的价格调整按照本款约定处理。</w:t>
      </w:r>
    </w:p>
    <w:p>
      <w:pPr>
        <w:pStyle w:val="10"/>
        <w:numPr>
          <w:ilvl w:val="2"/>
          <w:numId w:val="80"/>
        </w:numPr>
        <w:tabs>
          <w:tab w:val="left" w:pos="1321"/>
        </w:tabs>
        <w:spacing w:before="161" w:after="0" w:line="240" w:lineRule="auto"/>
        <w:ind w:left="1320" w:right="0" w:hanging="781"/>
        <w:jc w:val="left"/>
        <w:rPr>
          <w:sz w:val="24"/>
        </w:rPr>
      </w:pPr>
      <w:r>
        <w:rPr>
          <w:sz w:val="24"/>
        </w:rPr>
        <w:t>如果取消某项工作，则该项工作的总额价不予以支付；</w:t>
      </w:r>
    </w:p>
    <w:p>
      <w:pPr>
        <w:pStyle w:val="10"/>
        <w:numPr>
          <w:ilvl w:val="2"/>
          <w:numId w:val="80"/>
        </w:numPr>
        <w:tabs>
          <w:tab w:val="left" w:pos="1321"/>
        </w:tabs>
        <w:spacing w:before="160" w:after="0" w:line="240" w:lineRule="auto"/>
        <w:ind w:left="1320" w:right="0" w:hanging="781"/>
        <w:jc w:val="left"/>
        <w:rPr>
          <w:sz w:val="24"/>
        </w:rPr>
      </w:pPr>
      <w:r>
        <w:rPr>
          <w:sz w:val="24"/>
        </w:rPr>
        <w:t>已标价工程量清单中有适用于变更工作的子目的，采用该子目的单价。</w:t>
      </w:r>
    </w:p>
    <w:p>
      <w:pPr>
        <w:spacing w:after="0" w:line="240" w:lineRule="auto"/>
        <w:jc w:val="left"/>
        <w:rPr>
          <w:sz w:val="24"/>
        </w:rPr>
        <w:sectPr>
          <w:pgSz w:w="11910" w:h="16840"/>
          <w:pgMar w:top="1380" w:right="720" w:bottom="1080" w:left="820" w:header="746" w:footer="891" w:gutter="0"/>
          <w:cols w:space="720" w:num="1"/>
        </w:sectPr>
      </w:pPr>
    </w:p>
    <w:p>
      <w:pPr>
        <w:pStyle w:val="10"/>
        <w:numPr>
          <w:ilvl w:val="2"/>
          <w:numId w:val="80"/>
        </w:numPr>
        <w:tabs>
          <w:tab w:val="left" w:pos="1321"/>
        </w:tabs>
        <w:spacing w:before="61" w:after="0" w:line="364" w:lineRule="auto"/>
        <w:ind w:left="540" w:right="639" w:firstLine="0"/>
        <w:jc w:val="left"/>
        <w:rPr>
          <w:sz w:val="24"/>
        </w:rPr>
      </w:pPr>
      <w:r>
        <w:rPr>
          <w:spacing w:val="-1"/>
          <w:sz w:val="24"/>
        </w:rPr>
        <w:t>已标价工程量清单中无适用于变更工作的子目，但有类似子目的，可在合理范围</w:t>
      </w:r>
      <w:r>
        <w:rPr>
          <w:sz w:val="24"/>
        </w:rPr>
        <w:t>内参照类似子目的单价，由监理人按第 3.5 款商定或确定变更工作的单价。</w:t>
      </w:r>
    </w:p>
    <w:p>
      <w:pPr>
        <w:pStyle w:val="10"/>
        <w:numPr>
          <w:ilvl w:val="2"/>
          <w:numId w:val="80"/>
        </w:numPr>
        <w:tabs>
          <w:tab w:val="left" w:pos="1321"/>
        </w:tabs>
        <w:spacing w:before="0" w:after="0" w:line="364" w:lineRule="auto"/>
        <w:ind w:left="540" w:right="639" w:firstLine="0"/>
        <w:jc w:val="left"/>
        <w:rPr>
          <w:sz w:val="24"/>
        </w:rPr>
      </w:pPr>
      <w:r>
        <w:rPr>
          <w:spacing w:val="-1"/>
          <w:sz w:val="24"/>
        </w:rPr>
        <w:t>已标价工程量清单中无适用或类似子目的单价，可在综合考虑承包人在投标时所</w:t>
      </w:r>
      <w:r>
        <w:rPr>
          <w:sz w:val="24"/>
        </w:rPr>
        <w:t>提供的单价分析表的基础上，由监理人按第 3.5 款商定或确定变更工作的单价。</w:t>
      </w:r>
    </w:p>
    <w:p>
      <w:pPr>
        <w:pStyle w:val="10"/>
        <w:numPr>
          <w:ilvl w:val="2"/>
          <w:numId w:val="80"/>
        </w:numPr>
        <w:tabs>
          <w:tab w:val="left" w:pos="1321"/>
        </w:tabs>
        <w:spacing w:before="0" w:after="0" w:line="364" w:lineRule="auto"/>
        <w:ind w:left="540" w:right="639" w:firstLine="0"/>
        <w:jc w:val="left"/>
        <w:rPr>
          <w:sz w:val="24"/>
        </w:rPr>
      </w:pPr>
      <w:r>
        <w:rPr>
          <w:spacing w:val="-1"/>
          <w:sz w:val="24"/>
        </w:rPr>
        <w:t xml:space="preserve">如果本工程的变更指示是因承包人过错、承包人建反合同或承包人责任造成的， </w:t>
      </w:r>
      <w:r>
        <w:rPr>
          <w:sz w:val="24"/>
        </w:rPr>
        <w:t>则这种违约引起的任何额外费用应由承包人承担。</w:t>
      </w:r>
    </w:p>
    <w:p>
      <w:pPr>
        <w:pStyle w:val="10"/>
        <w:numPr>
          <w:ilvl w:val="1"/>
          <w:numId w:val="80"/>
        </w:numPr>
        <w:tabs>
          <w:tab w:val="left" w:pos="1081"/>
        </w:tabs>
        <w:spacing w:before="0" w:after="0" w:line="306" w:lineRule="exact"/>
        <w:ind w:left="1080" w:right="0" w:hanging="541"/>
        <w:jc w:val="left"/>
        <w:rPr>
          <w:sz w:val="24"/>
        </w:rPr>
      </w:pPr>
      <w:r>
        <w:rPr>
          <w:sz w:val="24"/>
        </w:rPr>
        <w:t>承包人的合理化建议第 15.5.2 项约定为：</w:t>
      </w:r>
    </w:p>
    <w:p>
      <w:pPr>
        <w:pStyle w:val="5"/>
        <w:spacing w:before="158"/>
      </w:pPr>
      <w:r>
        <w:t>承包人提出的合理化建议缩短了工期，发包人按第 11.6 款的规定给予奖励。</w:t>
      </w:r>
    </w:p>
    <w:p>
      <w:pPr>
        <w:pStyle w:val="5"/>
        <w:spacing w:before="160" w:line="362" w:lineRule="auto"/>
        <w:ind w:right="639"/>
      </w:pPr>
      <w:r>
        <w:t>承包人提出的合理化建议降低了合同价格或者提高了工程经济效益的，发包人按项目专用合同条款数据表中规定的金额给予奖励。</w:t>
      </w:r>
    </w:p>
    <w:p>
      <w:pPr>
        <w:pStyle w:val="10"/>
        <w:numPr>
          <w:ilvl w:val="1"/>
          <w:numId w:val="80"/>
        </w:numPr>
        <w:tabs>
          <w:tab w:val="left" w:pos="1081"/>
        </w:tabs>
        <w:spacing w:before="3" w:after="0" w:line="364" w:lineRule="auto"/>
        <w:ind w:left="540" w:right="8324" w:firstLine="0"/>
        <w:jc w:val="left"/>
        <w:rPr>
          <w:sz w:val="24"/>
        </w:rPr>
      </w:pPr>
      <w:r>
        <w:rPr>
          <w:spacing w:val="-5"/>
          <w:sz w:val="24"/>
        </w:rPr>
        <w:t>暂列金额</w:t>
      </w:r>
      <w:r>
        <w:rPr>
          <w:sz w:val="24"/>
        </w:rPr>
        <w:t>本款细化为：</w:t>
      </w:r>
    </w:p>
    <w:p>
      <w:pPr>
        <w:pStyle w:val="5"/>
        <w:spacing w:before="1" w:line="362" w:lineRule="auto"/>
        <w:ind w:right="639"/>
      </w:pPr>
      <w:r>
        <w:t>15.6.l 暂列金额应由监理人报发包人批准后指令全部或部分地使用，或者根本不予动用。</w:t>
      </w:r>
    </w:p>
    <w:p>
      <w:pPr>
        <w:pStyle w:val="10"/>
        <w:numPr>
          <w:ilvl w:val="2"/>
          <w:numId w:val="81"/>
        </w:numPr>
        <w:tabs>
          <w:tab w:val="left" w:pos="1321"/>
        </w:tabs>
        <w:spacing w:before="5" w:after="0" w:line="362" w:lineRule="auto"/>
        <w:ind w:left="540" w:right="639" w:firstLine="0"/>
        <w:jc w:val="left"/>
        <w:rPr>
          <w:sz w:val="24"/>
        </w:rPr>
      </w:pPr>
      <w:r>
        <w:rPr>
          <w:spacing w:val="-1"/>
          <w:sz w:val="24"/>
        </w:rPr>
        <w:t>对于经发包人批准的每一笔暂列金额，监理人有权向承包人发出实施工程或提供</w:t>
      </w:r>
      <w:r>
        <w:rPr>
          <w:sz w:val="24"/>
        </w:rPr>
        <w:t>材料、工程设备或服务的指令。这些指令应由承包人完成，监理人应根据第</w:t>
      </w:r>
    </w:p>
    <w:p>
      <w:pPr>
        <w:pStyle w:val="5"/>
        <w:spacing w:before="5"/>
      </w:pPr>
      <w:r>
        <w:t>15.4 款约定的变更估价原则和第 15.7 款的规定，对合同价格进行相应调整。</w:t>
      </w:r>
    </w:p>
    <w:p>
      <w:pPr>
        <w:pStyle w:val="10"/>
        <w:numPr>
          <w:ilvl w:val="2"/>
          <w:numId w:val="81"/>
        </w:numPr>
        <w:tabs>
          <w:tab w:val="left" w:pos="1321"/>
        </w:tabs>
        <w:spacing w:before="158" w:after="0" w:line="364" w:lineRule="auto"/>
        <w:ind w:left="540" w:right="519" w:firstLine="0"/>
        <w:jc w:val="left"/>
        <w:rPr>
          <w:sz w:val="24"/>
        </w:rPr>
      </w:pPr>
      <w:r>
        <w:rPr>
          <w:sz w:val="24"/>
        </w:rPr>
        <w:t>当监理人提出要求时，承包人应提供有关暂列金额支出的所有报价单、发票、凭</w:t>
      </w:r>
      <w:r>
        <w:rPr>
          <w:spacing w:val="-8"/>
          <w:sz w:val="24"/>
        </w:rPr>
        <w:t>证和账单或收据，除非该工作是根据已标价工程量清单列明的单价或总额价进行的估价。</w:t>
      </w:r>
      <w:r>
        <w:rPr>
          <w:sz w:val="24"/>
        </w:rPr>
        <w:t>16.价格调整</w:t>
      </w:r>
    </w:p>
    <w:p>
      <w:pPr>
        <w:pStyle w:val="10"/>
        <w:numPr>
          <w:ilvl w:val="1"/>
          <w:numId w:val="82"/>
        </w:numPr>
        <w:tabs>
          <w:tab w:val="left" w:pos="1081"/>
        </w:tabs>
        <w:spacing w:before="0" w:after="0" w:line="307" w:lineRule="exact"/>
        <w:ind w:left="1080" w:right="0" w:hanging="541"/>
        <w:jc w:val="left"/>
        <w:rPr>
          <w:sz w:val="24"/>
        </w:rPr>
      </w:pPr>
      <w:r>
        <w:rPr>
          <w:sz w:val="24"/>
        </w:rPr>
        <w:t>物价波动引起的价格调整本款约定为：</w:t>
      </w:r>
    </w:p>
    <w:p>
      <w:pPr>
        <w:pStyle w:val="5"/>
        <w:spacing w:before="158" w:line="364" w:lineRule="auto"/>
        <w:ind w:right="574"/>
      </w:pPr>
      <w:r>
        <w:t>（1）除项目专用合同条款另有约定外，因物价波动引起的价格调整应按项目专用合同条款数据表的规定，按照第 16.1.1 项或第 16.1.2 项或第 16.1.3 项约定的原则处理。</w:t>
      </w:r>
    </w:p>
    <w:p>
      <w:pPr>
        <w:pStyle w:val="10"/>
        <w:numPr>
          <w:ilvl w:val="2"/>
          <w:numId w:val="82"/>
        </w:numPr>
        <w:tabs>
          <w:tab w:val="left" w:pos="1321"/>
        </w:tabs>
        <w:spacing w:before="1" w:after="0" w:line="240" w:lineRule="auto"/>
        <w:ind w:left="1320" w:right="0" w:hanging="781"/>
        <w:jc w:val="left"/>
        <w:rPr>
          <w:sz w:val="24"/>
        </w:rPr>
      </w:pPr>
      <w:r>
        <w:rPr>
          <w:sz w:val="24"/>
        </w:rPr>
        <w:t>采用价格指数调整价格差额</w:t>
      </w:r>
    </w:p>
    <w:p>
      <w:pPr>
        <w:pStyle w:val="5"/>
        <w:spacing w:before="158"/>
      </w:pPr>
      <w:r>
        <w:t>16.1.1 价格调整公式</w:t>
      </w:r>
    </w:p>
    <w:p>
      <w:pPr>
        <w:pStyle w:val="10"/>
        <w:numPr>
          <w:ilvl w:val="0"/>
          <w:numId w:val="83"/>
        </w:numPr>
        <w:tabs>
          <w:tab w:val="left" w:pos="782"/>
        </w:tabs>
        <w:spacing w:before="158" w:after="0" w:line="364" w:lineRule="auto"/>
        <w:ind w:left="540" w:right="3344" w:firstLine="0"/>
        <w:jc w:val="left"/>
        <w:rPr>
          <w:sz w:val="24"/>
        </w:rPr>
      </w:pPr>
      <w:r>
        <w:rPr>
          <w:spacing w:val="-1"/>
          <w:sz w:val="24"/>
        </w:rPr>
        <w:t>价差调整费用</w:t>
      </w:r>
      <w:r>
        <w:rPr>
          <w:sz w:val="24"/>
        </w:rPr>
        <w:t>(ΔCt)计算公示ΔCt=（|ΔC|-Co×|r%|）×V 式中：ΔCt：价差调整费用ΔC：材料价差</w:t>
      </w:r>
    </w:p>
    <w:p>
      <w:pPr>
        <w:pStyle w:val="5"/>
        <w:spacing w:line="364" w:lineRule="auto"/>
        <w:ind w:right="5617"/>
      </w:pPr>
      <w:r>
        <w:t>r%：材料价格涨降风险幅度 Co：基准价V：材料数量</w:t>
      </w:r>
    </w:p>
    <w:p>
      <w:pPr>
        <w:pStyle w:val="10"/>
        <w:numPr>
          <w:ilvl w:val="0"/>
          <w:numId w:val="83"/>
        </w:numPr>
        <w:tabs>
          <w:tab w:val="left" w:pos="782"/>
        </w:tabs>
        <w:spacing w:before="0" w:after="0" w:line="240" w:lineRule="auto"/>
        <w:ind w:left="781" w:right="0" w:hanging="242"/>
        <w:jc w:val="left"/>
        <w:rPr>
          <w:sz w:val="24"/>
        </w:rPr>
      </w:pPr>
      <w:r>
        <w:rPr>
          <w:sz w:val="24"/>
        </w:rPr>
        <w:t>材料价差（ΔC） ΔC=Ca-Co</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jc w:val="both"/>
      </w:pPr>
      <w:r>
        <w:t>基准价（Co）：指项目招投标时，招标人报价中公示的材料价格；未公示的材料价格可按业主编制标底时采用的材料价格，或参考河南省交通工程定额站以及当地市级以上造价管理机构在业主招标时发布的信息价格。基准价应包含运费。</w:t>
      </w:r>
    </w:p>
    <w:p>
      <w:pPr>
        <w:pStyle w:val="5"/>
        <w:spacing w:line="364" w:lineRule="auto"/>
        <w:ind w:right="639"/>
        <w:jc w:val="both"/>
      </w:pPr>
      <w:r>
        <w:t>调价差（Ca）：以工程实体形成前一个月（季度），由业主、监理、承包商三方调查核实的市场价，参考河南省交通工程定额站或当地市级以上造价管理机构发布的当期信息价确定。价格调整应包含运费。</w:t>
      </w:r>
    </w:p>
    <w:p>
      <w:pPr>
        <w:pStyle w:val="10"/>
        <w:numPr>
          <w:ilvl w:val="0"/>
          <w:numId w:val="83"/>
        </w:numPr>
        <w:tabs>
          <w:tab w:val="left" w:pos="782"/>
        </w:tabs>
        <w:spacing w:before="0" w:after="0" w:line="305" w:lineRule="exact"/>
        <w:ind w:left="781" w:right="0" w:hanging="242"/>
        <w:jc w:val="left"/>
        <w:rPr>
          <w:sz w:val="24"/>
        </w:rPr>
      </w:pPr>
      <w:r>
        <w:rPr>
          <w:sz w:val="24"/>
        </w:rPr>
        <w:t>风险幅度（r%）</w:t>
      </w:r>
    </w:p>
    <w:p>
      <w:pPr>
        <w:pStyle w:val="5"/>
        <w:spacing w:before="159" w:line="364" w:lineRule="auto"/>
        <w:ind w:right="639"/>
        <w:jc w:val="both"/>
      </w:pPr>
      <w:r>
        <w:t>基准价（Co）风险幅度内的价差作为项目业主、承包人风险，不予调差。当材料价格上涨幅度超过确定的|r|</w:t>
      </w:r>
      <w:r>
        <w:rPr>
          <w:spacing w:val="-8"/>
        </w:rPr>
        <w:t>值时，业主应向承包人支付按条款计算的材料价差；下降幅度超过</w:t>
      </w:r>
      <w:r>
        <w:t>确定的|r|值时，业主应从计量支付款中扣回按条款计算的材料价差。</w:t>
      </w:r>
    </w:p>
    <w:p>
      <w:pPr>
        <w:pStyle w:val="5"/>
        <w:spacing w:line="305" w:lineRule="exact"/>
      </w:pPr>
      <w:r>
        <w:t>风险幅度系数：</w:t>
      </w:r>
    </w:p>
    <w:p>
      <w:pPr>
        <w:pStyle w:val="10"/>
        <w:numPr>
          <w:ilvl w:val="0"/>
          <w:numId w:val="84"/>
        </w:numPr>
        <w:tabs>
          <w:tab w:val="left" w:pos="1142"/>
        </w:tabs>
        <w:spacing w:before="161" w:after="0" w:line="240" w:lineRule="auto"/>
        <w:ind w:left="1141" w:right="0" w:hanging="602"/>
        <w:jc w:val="both"/>
        <w:rPr>
          <w:sz w:val="24"/>
        </w:rPr>
      </w:pPr>
      <w:r>
        <w:rPr>
          <w:sz w:val="24"/>
        </w:rPr>
        <w:t>钢材、沥青、钢轨、橡胶护舷（梯）、止水钢材，r 取正负 5；</w:t>
      </w:r>
    </w:p>
    <w:p>
      <w:pPr>
        <w:pStyle w:val="10"/>
        <w:numPr>
          <w:ilvl w:val="0"/>
          <w:numId w:val="84"/>
        </w:numPr>
        <w:tabs>
          <w:tab w:val="left" w:pos="1142"/>
        </w:tabs>
        <w:spacing w:before="160" w:after="0" w:line="240" w:lineRule="auto"/>
        <w:ind w:left="1141" w:right="0" w:hanging="602"/>
        <w:jc w:val="both"/>
        <w:rPr>
          <w:sz w:val="24"/>
        </w:rPr>
      </w:pPr>
      <w:r>
        <w:rPr>
          <w:sz w:val="24"/>
        </w:rPr>
        <w:t>水泥、半成品（含成品）、燃油，r 值取正负 8；</w:t>
      </w:r>
    </w:p>
    <w:p>
      <w:pPr>
        <w:pStyle w:val="10"/>
        <w:numPr>
          <w:ilvl w:val="0"/>
          <w:numId w:val="84"/>
        </w:numPr>
        <w:tabs>
          <w:tab w:val="left" w:pos="1142"/>
        </w:tabs>
        <w:spacing w:before="159" w:after="0" w:line="240" w:lineRule="auto"/>
        <w:ind w:left="1141" w:right="0" w:hanging="602"/>
        <w:jc w:val="both"/>
        <w:rPr>
          <w:sz w:val="24"/>
        </w:rPr>
      </w:pPr>
      <w:r>
        <w:rPr>
          <w:sz w:val="24"/>
        </w:rPr>
        <w:t>地材，r 值取正负 10.</w:t>
      </w:r>
    </w:p>
    <w:p>
      <w:pPr>
        <w:pStyle w:val="10"/>
        <w:numPr>
          <w:ilvl w:val="0"/>
          <w:numId w:val="83"/>
        </w:numPr>
        <w:tabs>
          <w:tab w:val="left" w:pos="782"/>
        </w:tabs>
        <w:spacing w:before="160" w:after="0" w:line="364" w:lineRule="auto"/>
        <w:ind w:left="540" w:right="639" w:firstLine="0"/>
        <w:jc w:val="both"/>
        <w:rPr>
          <w:sz w:val="24"/>
        </w:rPr>
      </w:pPr>
      <w:r>
        <w:rPr>
          <w:spacing w:val="-3"/>
          <w:sz w:val="24"/>
        </w:rPr>
        <w:t>材料数量</w:t>
      </w:r>
      <w:r>
        <w:rPr>
          <w:spacing w:val="-8"/>
          <w:sz w:val="24"/>
        </w:rPr>
        <w:t>（V）</w:t>
      </w:r>
      <w:r>
        <w:rPr>
          <w:spacing w:val="-5"/>
          <w:sz w:val="24"/>
        </w:rPr>
        <w:t>：指形成工程实体的材料数量，但钢材调差总量不应超过预算定额消耗</w:t>
      </w:r>
      <w:r>
        <w:rPr>
          <w:sz w:val="24"/>
        </w:rPr>
        <w:t>量；水泥、地材不应超过预算定额配合比计算的消耗量；沥青不应超过施工配合比计算的消耗量；燃油（重油、汽油、柴油）总量不应超过预算定额消耗量的 80%。</w:t>
      </w:r>
    </w:p>
    <w:p>
      <w:pPr>
        <w:pStyle w:val="5"/>
        <w:spacing w:line="305" w:lineRule="exact"/>
        <w:jc w:val="both"/>
      </w:pPr>
      <w:r>
        <w:t>16.1.3 其他方式价格调整：详见项目专用合同条款约定。</w:t>
      </w:r>
    </w:p>
    <w:p>
      <w:pPr>
        <w:pStyle w:val="10"/>
        <w:numPr>
          <w:ilvl w:val="2"/>
          <w:numId w:val="85"/>
        </w:numPr>
        <w:tabs>
          <w:tab w:val="left" w:pos="1321"/>
        </w:tabs>
        <w:spacing w:before="161" w:after="0" w:line="240" w:lineRule="auto"/>
        <w:ind w:left="1320" w:right="0" w:hanging="781"/>
        <w:jc w:val="left"/>
        <w:rPr>
          <w:sz w:val="24"/>
        </w:rPr>
      </w:pPr>
      <w:r>
        <w:rPr>
          <w:sz w:val="24"/>
        </w:rPr>
        <w:t>指定材料的价格调整</w:t>
      </w:r>
    </w:p>
    <w:p>
      <w:pPr>
        <w:pStyle w:val="10"/>
        <w:numPr>
          <w:ilvl w:val="3"/>
          <w:numId w:val="85"/>
        </w:numPr>
        <w:tabs>
          <w:tab w:val="left" w:pos="1561"/>
        </w:tabs>
        <w:spacing w:before="158" w:after="0" w:line="240" w:lineRule="auto"/>
        <w:ind w:left="1560" w:right="0" w:hanging="1021"/>
        <w:jc w:val="left"/>
        <w:rPr>
          <w:sz w:val="24"/>
        </w:rPr>
      </w:pPr>
      <w:r>
        <w:rPr>
          <w:sz w:val="24"/>
        </w:rPr>
        <w:t>调整材料种类:水泥、沥青、中粗砂、碎石、钢材。</w:t>
      </w:r>
    </w:p>
    <w:p>
      <w:pPr>
        <w:pStyle w:val="10"/>
        <w:numPr>
          <w:ilvl w:val="3"/>
          <w:numId w:val="85"/>
        </w:numPr>
        <w:tabs>
          <w:tab w:val="left" w:pos="1561"/>
        </w:tabs>
        <w:spacing w:before="160" w:after="0" w:line="240" w:lineRule="auto"/>
        <w:ind w:left="1560" w:right="0" w:hanging="1021"/>
        <w:jc w:val="left"/>
        <w:rPr>
          <w:sz w:val="24"/>
        </w:rPr>
      </w:pPr>
      <w:r>
        <w:rPr>
          <w:sz w:val="24"/>
        </w:rPr>
        <w:t>材料基准价格:招标人报价中材料价格。</w:t>
      </w:r>
    </w:p>
    <w:p>
      <w:pPr>
        <w:pStyle w:val="10"/>
        <w:numPr>
          <w:ilvl w:val="3"/>
          <w:numId w:val="85"/>
        </w:numPr>
        <w:tabs>
          <w:tab w:val="left" w:pos="1561"/>
        </w:tabs>
        <w:spacing w:before="158" w:after="0" w:line="240" w:lineRule="auto"/>
        <w:ind w:left="1560" w:right="0" w:hanging="1021"/>
        <w:jc w:val="left"/>
        <w:rPr>
          <w:sz w:val="24"/>
        </w:rPr>
      </w:pPr>
      <w:r>
        <w:rPr>
          <w:sz w:val="24"/>
        </w:rPr>
        <w:t>材料数量:以当期计量工程量确定，延期计量的，以实际完成时间计算。</w:t>
      </w:r>
    </w:p>
    <w:p>
      <w:pPr>
        <w:pStyle w:val="10"/>
        <w:numPr>
          <w:ilvl w:val="3"/>
          <w:numId w:val="85"/>
        </w:numPr>
        <w:tabs>
          <w:tab w:val="left" w:pos="1561"/>
        </w:tabs>
        <w:spacing w:before="161" w:after="0" w:line="364" w:lineRule="auto"/>
        <w:ind w:left="540" w:right="639" w:firstLine="0"/>
        <w:jc w:val="left"/>
        <w:rPr>
          <w:sz w:val="24"/>
        </w:rPr>
      </w:pPr>
      <w:r>
        <w:rPr>
          <w:sz w:val="24"/>
        </w:rPr>
        <w:t>材料价差调整参照豫交(2011)42</w:t>
      </w:r>
      <w:r>
        <w:rPr>
          <w:spacing w:val="-13"/>
          <w:sz w:val="24"/>
        </w:rPr>
        <w:t xml:space="preserve"> 号文，经建设单位认可并报造价管理部门或财</w:t>
      </w:r>
      <w:r>
        <w:rPr>
          <w:sz w:val="24"/>
        </w:rPr>
        <w:t>政评审部门审核后，方可据实调整。</w:t>
      </w:r>
    </w:p>
    <w:p>
      <w:pPr>
        <w:pStyle w:val="5"/>
        <w:spacing w:line="362" w:lineRule="auto"/>
        <w:ind w:right="574"/>
      </w:pPr>
      <w:r>
        <w:t>16.1.3.7 因施工单位原因造成工期延误的，在延误期间价格变化引起的增加费用由施工单位承担。</w:t>
      </w:r>
    </w:p>
    <w:p>
      <w:pPr>
        <w:pStyle w:val="10"/>
        <w:numPr>
          <w:ilvl w:val="0"/>
          <w:numId w:val="86"/>
        </w:numPr>
        <w:tabs>
          <w:tab w:val="left" w:pos="902"/>
        </w:tabs>
        <w:spacing w:before="3" w:after="0" w:line="240" w:lineRule="auto"/>
        <w:ind w:left="901" w:right="0" w:hanging="362"/>
        <w:jc w:val="left"/>
        <w:rPr>
          <w:sz w:val="24"/>
        </w:rPr>
      </w:pPr>
      <w:r>
        <w:rPr>
          <w:sz w:val="24"/>
        </w:rPr>
        <w:t>计量与支付</w:t>
      </w:r>
    </w:p>
    <w:p>
      <w:pPr>
        <w:pStyle w:val="10"/>
        <w:numPr>
          <w:ilvl w:val="1"/>
          <w:numId w:val="86"/>
        </w:numPr>
        <w:tabs>
          <w:tab w:val="left" w:pos="1081"/>
        </w:tabs>
        <w:spacing w:before="159" w:after="0" w:line="240" w:lineRule="auto"/>
        <w:ind w:left="1080" w:right="0" w:hanging="541"/>
        <w:jc w:val="left"/>
        <w:rPr>
          <w:sz w:val="24"/>
        </w:rPr>
      </w:pPr>
      <w:r>
        <w:rPr>
          <w:sz w:val="24"/>
        </w:rPr>
        <w:t>计量</w:t>
      </w:r>
    </w:p>
    <w:p>
      <w:pPr>
        <w:pStyle w:val="5"/>
        <w:spacing w:before="160"/>
      </w:pPr>
      <w:r>
        <w:t>17.1.2 计量方法本项约定为：</w:t>
      </w:r>
    </w:p>
    <w:p>
      <w:pPr>
        <w:pStyle w:val="5"/>
        <w:spacing w:before="161"/>
      </w:pPr>
      <w:r>
        <w:t>工程的计量应以净值为准，除非项目专用合同条款另有约定。工程量清单中各个子目的</w:t>
      </w:r>
    </w:p>
    <w:p>
      <w:pPr>
        <w:spacing w:after="0"/>
        <w:sectPr>
          <w:pgSz w:w="11910" w:h="16840"/>
          <w:pgMar w:top="1380" w:right="720" w:bottom="1080" w:left="820" w:header="746" w:footer="891" w:gutter="0"/>
          <w:cols w:space="720" w:num="1"/>
        </w:sectPr>
      </w:pPr>
    </w:p>
    <w:p>
      <w:pPr>
        <w:pStyle w:val="5"/>
        <w:spacing w:before="61"/>
      </w:pPr>
      <w:r>
        <w:t>具体计量方法按本合同文件技术标准中的规定执行。</w:t>
      </w:r>
    </w:p>
    <w:p>
      <w:pPr>
        <w:pStyle w:val="5"/>
        <w:spacing w:before="160"/>
      </w:pPr>
      <w:r>
        <w:t>17.1.4 单价子目的计量本项补充：</w:t>
      </w:r>
    </w:p>
    <w:p>
      <w:pPr>
        <w:pStyle w:val="5"/>
        <w:spacing w:before="158" w:line="364" w:lineRule="auto"/>
        <w:ind w:right="574"/>
      </w:pPr>
      <w:r>
        <w:t>（7）承包人未在已标价工程量清单中填入单价或总额价的工程子目，将被认为其已包含在本合同的其他子目的单价和总额价中，发包人将不另行支付。</w:t>
      </w:r>
    </w:p>
    <w:p>
      <w:pPr>
        <w:pStyle w:val="10"/>
        <w:numPr>
          <w:ilvl w:val="1"/>
          <w:numId w:val="86"/>
        </w:numPr>
        <w:tabs>
          <w:tab w:val="left" w:pos="1081"/>
        </w:tabs>
        <w:spacing w:before="0" w:after="0" w:line="306" w:lineRule="exact"/>
        <w:ind w:left="1080" w:right="0" w:hanging="541"/>
        <w:jc w:val="left"/>
        <w:rPr>
          <w:sz w:val="24"/>
        </w:rPr>
      </w:pPr>
      <w:r>
        <w:rPr>
          <w:sz w:val="24"/>
        </w:rPr>
        <w:t>预付款</w:t>
      </w:r>
    </w:p>
    <w:p>
      <w:pPr>
        <w:pStyle w:val="10"/>
        <w:numPr>
          <w:ilvl w:val="2"/>
          <w:numId w:val="86"/>
        </w:numPr>
        <w:tabs>
          <w:tab w:val="left" w:pos="1321"/>
        </w:tabs>
        <w:spacing w:before="161" w:after="0" w:line="240" w:lineRule="auto"/>
        <w:ind w:left="1320" w:right="0" w:hanging="781"/>
        <w:jc w:val="left"/>
        <w:rPr>
          <w:sz w:val="24"/>
        </w:rPr>
      </w:pPr>
      <w:r>
        <w:rPr>
          <w:sz w:val="24"/>
        </w:rPr>
        <w:t>预付款</w:t>
      </w:r>
    </w:p>
    <w:p>
      <w:pPr>
        <w:pStyle w:val="5"/>
        <w:spacing w:before="158" w:line="364" w:lineRule="auto"/>
        <w:ind w:right="1424"/>
      </w:pPr>
      <w:r>
        <w:t>本项约定的预付款包括开工预付款和材料、设备预付款。具体额度和预付办法如下：</w:t>
      </w:r>
    </w:p>
    <w:p>
      <w:pPr>
        <w:pStyle w:val="10"/>
        <w:numPr>
          <w:ilvl w:val="0"/>
          <w:numId w:val="87"/>
        </w:numPr>
        <w:tabs>
          <w:tab w:val="left" w:pos="1142"/>
        </w:tabs>
        <w:spacing w:before="1" w:after="0" w:line="240" w:lineRule="auto"/>
        <w:ind w:left="1141" w:right="0" w:hanging="602"/>
        <w:jc w:val="left"/>
        <w:rPr>
          <w:sz w:val="24"/>
        </w:rPr>
      </w:pPr>
      <w:r>
        <w:rPr>
          <w:sz w:val="24"/>
        </w:rPr>
        <w:t>开工预付款的额度在项目专用合同条款中约定。在承包人签订了合同协议书</w:t>
      </w:r>
    </w:p>
    <w:p>
      <w:pPr>
        <w:pStyle w:val="5"/>
        <w:spacing w:before="158" w:line="362" w:lineRule="auto"/>
        <w:ind w:right="639"/>
      </w:pPr>
      <w:r>
        <w:t>且承包人承诺的主要设备进场后，监理人应在当期进度付款证书中向承包人支付开工预付款。</w:t>
      </w:r>
    </w:p>
    <w:p>
      <w:pPr>
        <w:pStyle w:val="5"/>
        <w:spacing w:before="5" w:line="364" w:lineRule="auto"/>
        <w:ind w:right="639"/>
        <w:jc w:val="both"/>
      </w:pPr>
      <w:r>
        <w:t>承包人不得将该预付款用于与本工程无关的支出，监理人有权监督承包人对该项费用的使用，如经查实承包人滥用开工预付款，发包人有权立即通过向银行发出通知收回开工预付款保函的方式，将该款收回。</w:t>
      </w:r>
    </w:p>
    <w:p>
      <w:pPr>
        <w:pStyle w:val="10"/>
        <w:numPr>
          <w:ilvl w:val="0"/>
          <w:numId w:val="87"/>
        </w:numPr>
        <w:tabs>
          <w:tab w:val="left" w:pos="1142"/>
        </w:tabs>
        <w:spacing w:before="0" w:after="0" w:line="364" w:lineRule="auto"/>
        <w:ind w:left="540" w:right="639" w:firstLine="0"/>
        <w:jc w:val="both"/>
        <w:rPr>
          <w:sz w:val="24"/>
        </w:rPr>
      </w:pPr>
      <w:r>
        <w:rPr>
          <w:spacing w:val="-6"/>
          <w:sz w:val="24"/>
        </w:rPr>
        <w:t>材料、设备预付款的额度为项目专用合同条款中所列主要材料、设备单据费用</w:t>
      </w:r>
      <w:r>
        <w:rPr>
          <w:sz w:val="24"/>
        </w:rPr>
        <w:t>（</w:t>
      </w:r>
      <w:r>
        <w:rPr>
          <w:spacing w:val="-15"/>
          <w:sz w:val="24"/>
        </w:rPr>
        <w:t>进</w:t>
      </w:r>
      <w:r>
        <w:rPr>
          <w:spacing w:val="-14"/>
          <w:sz w:val="24"/>
        </w:rPr>
        <w:t>口的材料、设备为到岸价，国内采购的为出厂价或销售价，地方材料为堆场价</w:t>
      </w:r>
      <w:r>
        <w:rPr>
          <w:spacing w:val="-60"/>
          <w:sz w:val="24"/>
        </w:rPr>
        <w:t>）</w:t>
      </w:r>
      <w:r>
        <w:rPr>
          <w:spacing w:val="-9"/>
          <w:sz w:val="24"/>
        </w:rPr>
        <w:t>的 ％</w:t>
      </w:r>
      <w:r>
        <w:rPr>
          <w:spacing w:val="-27"/>
          <w:sz w:val="24"/>
        </w:rPr>
        <w:t>（</w:t>
      </w:r>
      <w:r>
        <w:rPr>
          <w:spacing w:val="-15"/>
          <w:sz w:val="24"/>
        </w:rPr>
        <w:t>在</w:t>
      </w:r>
      <w:r>
        <w:rPr>
          <w:sz w:val="24"/>
        </w:rPr>
        <w:t>项目专用条款数据表中约定）。其预付条件为：</w:t>
      </w:r>
    </w:p>
    <w:p>
      <w:pPr>
        <w:pStyle w:val="10"/>
        <w:numPr>
          <w:ilvl w:val="0"/>
          <w:numId w:val="88"/>
        </w:numPr>
        <w:tabs>
          <w:tab w:val="left" w:pos="782"/>
        </w:tabs>
        <w:spacing w:before="0" w:after="0" w:line="305" w:lineRule="exact"/>
        <w:ind w:left="781" w:right="0" w:hanging="242"/>
        <w:jc w:val="left"/>
        <w:rPr>
          <w:sz w:val="24"/>
        </w:rPr>
      </w:pPr>
      <w:r>
        <w:rPr>
          <w:sz w:val="24"/>
        </w:rPr>
        <w:t>材料、设备符合规范要求并经监理人认可；</w:t>
      </w:r>
    </w:p>
    <w:p>
      <w:pPr>
        <w:pStyle w:val="10"/>
        <w:numPr>
          <w:ilvl w:val="0"/>
          <w:numId w:val="88"/>
        </w:numPr>
        <w:tabs>
          <w:tab w:val="left" w:pos="782"/>
        </w:tabs>
        <w:spacing w:before="160" w:after="0" w:line="240" w:lineRule="auto"/>
        <w:ind w:left="781" w:right="0" w:hanging="242"/>
        <w:jc w:val="left"/>
        <w:rPr>
          <w:sz w:val="24"/>
        </w:rPr>
      </w:pPr>
      <w:r>
        <w:rPr>
          <w:sz w:val="24"/>
        </w:rPr>
        <w:t>承包人已出具材料、设备费用凭证或支付单据；</w:t>
      </w:r>
    </w:p>
    <w:p>
      <w:pPr>
        <w:pStyle w:val="10"/>
        <w:numPr>
          <w:ilvl w:val="0"/>
          <w:numId w:val="88"/>
        </w:numPr>
        <w:tabs>
          <w:tab w:val="left" w:pos="782"/>
        </w:tabs>
        <w:spacing w:before="158" w:after="0" w:line="364" w:lineRule="auto"/>
        <w:ind w:left="540" w:right="519" w:firstLine="0"/>
        <w:jc w:val="left"/>
        <w:rPr>
          <w:sz w:val="24"/>
        </w:rPr>
      </w:pPr>
      <w:r>
        <w:rPr>
          <w:spacing w:val="-8"/>
          <w:sz w:val="24"/>
        </w:rPr>
        <w:t>材料、设备已在现场交货，且存储良好，监理人认为材料、设备的存储方法符合要求。</w:t>
      </w:r>
      <w:r>
        <w:rPr>
          <w:sz w:val="24"/>
        </w:rPr>
        <w:t>则监理人应将此项金额作为材料、设备预付款计入下一次的进度付款证书中。在预计交工前 3 个月，将不再支付材料、设备预付款。</w:t>
      </w:r>
    </w:p>
    <w:p>
      <w:pPr>
        <w:pStyle w:val="10"/>
        <w:numPr>
          <w:ilvl w:val="2"/>
          <w:numId w:val="86"/>
        </w:numPr>
        <w:tabs>
          <w:tab w:val="left" w:pos="1321"/>
        </w:tabs>
        <w:spacing w:before="0" w:after="0" w:line="307" w:lineRule="exact"/>
        <w:ind w:left="1320" w:right="0" w:hanging="781"/>
        <w:jc w:val="left"/>
        <w:rPr>
          <w:sz w:val="24"/>
        </w:rPr>
      </w:pPr>
      <w:r>
        <w:rPr>
          <w:sz w:val="24"/>
        </w:rPr>
        <w:t>预付款保函本项细化为：</w:t>
      </w:r>
    </w:p>
    <w:p>
      <w:pPr>
        <w:pStyle w:val="5"/>
        <w:spacing w:before="160" w:line="364" w:lineRule="auto"/>
        <w:ind w:right="639"/>
        <w:jc w:val="both"/>
      </w:pPr>
      <w:r>
        <w:t>除项目专用合同条款另有约定外，承包人应在收到开工预付款前向发包人提交开工预付款保函，开工预付款保函的担保金额应与开工预付款金额相同。出具保函的银行须与前述第 4.2</w:t>
      </w:r>
      <w:r>
        <w:rPr>
          <w:spacing w:val="-6"/>
        </w:rPr>
        <w:t xml:space="preserve"> 款的要求相同，所需费用由承包人承担。银行保函的正本由发包人保存，该保</w:t>
      </w:r>
      <w:r>
        <w:t>函在发包人将开工预付款全部扣回之前一直有效，担保金额可根据开工预付款扣回的金额相应递减。</w:t>
      </w:r>
    </w:p>
    <w:p>
      <w:pPr>
        <w:pStyle w:val="5"/>
        <w:spacing w:line="303" w:lineRule="exact"/>
        <w:jc w:val="both"/>
      </w:pPr>
      <w:r>
        <w:t>17:2.3 预付款的扣回与还清本项约定为：</w:t>
      </w:r>
    </w:p>
    <w:p>
      <w:pPr>
        <w:pStyle w:val="10"/>
        <w:numPr>
          <w:ilvl w:val="0"/>
          <w:numId w:val="89"/>
        </w:numPr>
        <w:tabs>
          <w:tab w:val="left" w:pos="1142"/>
        </w:tabs>
        <w:spacing w:before="161" w:after="0" w:line="240" w:lineRule="auto"/>
        <w:ind w:left="1141" w:right="0" w:hanging="602"/>
        <w:jc w:val="left"/>
        <w:rPr>
          <w:sz w:val="24"/>
        </w:rPr>
      </w:pPr>
      <w:r>
        <w:rPr>
          <w:sz w:val="24"/>
        </w:rPr>
        <w:t>开工预付款在进度付款证书的累计金额未达到合同价格的 30%</w:t>
      </w:r>
      <w:r>
        <w:rPr>
          <w:spacing w:val="-4"/>
          <w:sz w:val="24"/>
        </w:rPr>
        <w:t>之前不予扣回，在达</w:t>
      </w:r>
    </w:p>
    <w:p>
      <w:pPr>
        <w:spacing w:after="0" w:line="240" w:lineRule="auto"/>
        <w:jc w:val="left"/>
        <w:rPr>
          <w:sz w:val="24"/>
        </w:rPr>
        <w:sectPr>
          <w:pgSz w:w="11910" w:h="16840"/>
          <w:pgMar w:top="1380" w:right="720" w:bottom="1080" w:left="820" w:header="746" w:footer="891" w:gutter="0"/>
          <w:cols w:space="720" w:num="1"/>
        </w:sectPr>
      </w:pPr>
    </w:p>
    <w:p>
      <w:pPr>
        <w:pStyle w:val="5"/>
        <w:spacing w:before="61" w:line="364" w:lineRule="auto"/>
        <w:ind w:right="639"/>
        <w:jc w:val="both"/>
      </w:pPr>
      <w:r>
        <w:t>到合同价格 30%</w:t>
      </w:r>
      <w:r>
        <w:rPr>
          <w:spacing w:val="-9"/>
        </w:rPr>
        <w:t>之后，开始按工程进度以固定比例</w:t>
      </w:r>
      <w:r>
        <w:t>（</w:t>
      </w:r>
      <w:r>
        <w:rPr>
          <w:spacing w:val="-6"/>
        </w:rPr>
        <w:t xml:space="preserve">即每完成合同价格的 </w:t>
      </w:r>
      <w:r>
        <w:rPr>
          <w:spacing w:val="-13"/>
        </w:rPr>
        <w:t>1％</w:t>
      </w:r>
      <w:r>
        <w:rPr>
          <w:spacing w:val="-7"/>
        </w:rPr>
        <w:t>，扣回开工</w:t>
      </w:r>
      <w:r>
        <w:rPr>
          <w:spacing w:val="9"/>
        </w:rPr>
        <w:t xml:space="preserve">预付款的 </w:t>
      </w:r>
      <w:r>
        <w:t>2%)分期从各月的进度付款证书中扣回，全部金额在进度付款证书的累计金额达到合同价格的 80%时扣完。</w:t>
      </w:r>
    </w:p>
    <w:p>
      <w:pPr>
        <w:pStyle w:val="10"/>
        <w:numPr>
          <w:ilvl w:val="0"/>
          <w:numId w:val="89"/>
        </w:numPr>
        <w:tabs>
          <w:tab w:val="left" w:pos="1142"/>
        </w:tabs>
        <w:spacing w:before="0" w:after="0" w:line="364" w:lineRule="auto"/>
        <w:ind w:left="540" w:right="639" w:firstLine="0"/>
        <w:jc w:val="both"/>
        <w:rPr>
          <w:sz w:val="24"/>
        </w:rPr>
      </w:pPr>
      <w:r>
        <w:rPr>
          <w:spacing w:val="-7"/>
          <w:sz w:val="24"/>
        </w:rPr>
        <w:t>当材料、设备已用于或安装在永久工程之中时，材料、设备预付款应从进度付款证</w:t>
      </w:r>
      <w:r>
        <w:rPr>
          <w:spacing w:val="-3"/>
          <w:sz w:val="24"/>
        </w:rPr>
        <w:t xml:space="preserve">书中扣回，扣回期不超过 </w:t>
      </w:r>
      <w:r>
        <w:rPr>
          <w:sz w:val="24"/>
        </w:rPr>
        <w:t>3</w:t>
      </w:r>
      <w:r>
        <w:rPr>
          <w:spacing w:val="-7"/>
          <w:sz w:val="24"/>
        </w:rPr>
        <w:t xml:space="preserve"> 个月。己经支付材料、设备预付款的材料、设备的所有权应</w:t>
      </w:r>
      <w:r>
        <w:rPr>
          <w:sz w:val="24"/>
        </w:rPr>
        <w:t>属于发包人。</w:t>
      </w:r>
    </w:p>
    <w:p>
      <w:pPr>
        <w:pStyle w:val="10"/>
        <w:numPr>
          <w:ilvl w:val="1"/>
          <w:numId w:val="86"/>
        </w:numPr>
        <w:tabs>
          <w:tab w:val="left" w:pos="1081"/>
        </w:tabs>
        <w:spacing w:before="0" w:after="0" w:line="305" w:lineRule="exact"/>
        <w:ind w:left="1080" w:right="0" w:hanging="541"/>
        <w:jc w:val="both"/>
        <w:rPr>
          <w:sz w:val="24"/>
        </w:rPr>
      </w:pPr>
      <w:r>
        <w:rPr>
          <w:sz w:val="24"/>
        </w:rPr>
        <w:t>工程进度付款</w:t>
      </w:r>
    </w:p>
    <w:p>
      <w:pPr>
        <w:pStyle w:val="5"/>
        <w:spacing w:before="159"/>
        <w:jc w:val="both"/>
      </w:pPr>
      <w:r>
        <w:t>17.3.3 进度付款证书和支付时间： 本项（1）目补充：</w:t>
      </w:r>
    </w:p>
    <w:p>
      <w:pPr>
        <w:pStyle w:val="5"/>
        <w:spacing w:before="161" w:line="364" w:lineRule="auto"/>
        <w:ind w:right="639"/>
        <w:jc w:val="both"/>
      </w:pPr>
      <w: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pPr>
        <w:pStyle w:val="5"/>
        <w:spacing w:line="305" w:lineRule="exact"/>
      </w:pPr>
      <w:r>
        <w:t>本项（2）目细化为：</w:t>
      </w:r>
    </w:p>
    <w:p>
      <w:pPr>
        <w:pStyle w:val="5"/>
        <w:spacing w:before="158" w:line="364" w:lineRule="auto"/>
        <w:ind w:right="639"/>
        <w:jc w:val="both"/>
      </w:pPr>
      <w:r>
        <w:t>发包人应在监理人收到进度付款申请单且承包人提交了合格的增值税专用发票后的 28 天内，将进度应付款支付给承包人。</w:t>
      </w:r>
    </w:p>
    <w:p>
      <w:pPr>
        <w:pStyle w:val="5"/>
        <w:spacing w:line="364" w:lineRule="auto"/>
        <w:ind w:right="639"/>
        <w:jc w:val="both"/>
      </w:pPr>
      <w:r>
        <w:t>发包人不按期支付的，按项目专用条款数据表中约定的利率向承包人支付逾期付款违约金。违约金计算基数为发包人的全部未付款额，时间从应付而未付该款额之日算起（不计复利）。</w:t>
      </w:r>
    </w:p>
    <w:p>
      <w:pPr>
        <w:pStyle w:val="5"/>
        <w:spacing w:line="307" w:lineRule="exact"/>
        <w:jc w:val="both"/>
      </w:pPr>
      <w:r>
        <w:t>本款补充第 17.3.5 项</w:t>
      </w:r>
    </w:p>
    <w:p>
      <w:pPr>
        <w:pStyle w:val="5"/>
        <w:spacing w:before="157"/>
      </w:pPr>
      <w:r>
        <w:t>17.3.5 农民工工资保证金</w:t>
      </w:r>
    </w:p>
    <w:p>
      <w:pPr>
        <w:pStyle w:val="10"/>
        <w:numPr>
          <w:ilvl w:val="0"/>
          <w:numId w:val="90"/>
        </w:numPr>
        <w:tabs>
          <w:tab w:val="left" w:pos="1142"/>
        </w:tabs>
        <w:spacing w:before="160" w:after="0" w:line="362" w:lineRule="auto"/>
        <w:ind w:left="540" w:right="639" w:firstLine="0"/>
        <w:jc w:val="left"/>
        <w:rPr>
          <w:sz w:val="24"/>
        </w:rPr>
      </w:pPr>
      <w:r>
        <w:rPr>
          <w:spacing w:val="-4"/>
          <w:sz w:val="24"/>
        </w:rPr>
        <w:t>为确保施工过程中农民工工资实时、足额发放到位，承包人应按照项目专用合同条</w:t>
      </w:r>
      <w:r>
        <w:rPr>
          <w:sz w:val="24"/>
        </w:rPr>
        <w:t>款约定的时间和金额教训农民工工资保证金。</w:t>
      </w:r>
    </w:p>
    <w:p>
      <w:pPr>
        <w:pStyle w:val="10"/>
        <w:numPr>
          <w:ilvl w:val="0"/>
          <w:numId w:val="90"/>
        </w:numPr>
        <w:tabs>
          <w:tab w:val="left" w:pos="1142"/>
        </w:tabs>
        <w:spacing w:before="5" w:after="0" w:line="364" w:lineRule="auto"/>
        <w:ind w:left="540" w:right="639" w:firstLine="0"/>
        <w:jc w:val="left"/>
        <w:rPr>
          <w:sz w:val="24"/>
        </w:rPr>
      </w:pPr>
      <w:r>
        <w:rPr>
          <w:spacing w:val="-5"/>
          <w:sz w:val="24"/>
        </w:rPr>
        <w:t>农民工工资保证金可采用现金、支票形式。采用银行保函时，出具保函的银行须具</w:t>
      </w:r>
      <w:r>
        <w:rPr>
          <w:sz w:val="24"/>
        </w:rPr>
        <w:t>有相应担保能力，且按照发包人批准的格式出具，所需费用由承包人承担。</w:t>
      </w:r>
    </w:p>
    <w:p>
      <w:pPr>
        <w:pStyle w:val="10"/>
        <w:numPr>
          <w:ilvl w:val="0"/>
          <w:numId w:val="90"/>
        </w:numPr>
        <w:tabs>
          <w:tab w:val="left" w:pos="1142"/>
        </w:tabs>
        <w:spacing w:before="0" w:after="0" w:line="306" w:lineRule="exact"/>
        <w:ind w:left="1141" w:right="0" w:hanging="602"/>
        <w:jc w:val="left"/>
        <w:rPr>
          <w:sz w:val="24"/>
        </w:rPr>
      </w:pPr>
      <w:r>
        <w:rPr>
          <w:sz w:val="24"/>
        </w:rPr>
        <w:t>农民工工资保证金的扣留条件、返还时间按照项目专用条款的约定执行。</w:t>
      </w:r>
    </w:p>
    <w:p>
      <w:pPr>
        <w:pStyle w:val="10"/>
        <w:numPr>
          <w:ilvl w:val="1"/>
          <w:numId w:val="86"/>
        </w:numPr>
        <w:tabs>
          <w:tab w:val="left" w:pos="1081"/>
        </w:tabs>
        <w:spacing w:before="158" w:after="0" w:line="240" w:lineRule="auto"/>
        <w:ind w:left="1080" w:right="0" w:hanging="541"/>
        <w:jc w:val="left"/>
        <w:rPr>
          <w:sz w:val="24"/>
        </w:rPr>
      </w:pPr>
      <w:r>
        <w:rPr>
          <w:sz w:val="24"/>
        </w:rPr>
        <w:t>质量保证金</w:t>
      </w:r>
    </w:p>
    <w:p>
      <w:pPr>
        <w:pStyle w:val="5"/>
        <w:spacing w:before="161"/>
        <w:jc w:val="both"/>
      </w:pPr>
      <w:r>
        <w:t>17.4.1、17.4.2 项细化为：</w:t>
      </w:r>
    </w:p>
    <w:p>
      <w:pPr>
        <w:pStyle w:val="10"/>
        <w:numPr>
          <w:ilvl w:val="2"/>
          <w:numId w:val="86"/>
        </w:numPr>
        <w:tabs>
          <w:tab w:val="left" w:pos="1321"/>
        </w:tabs>
        <w:spacing w:before="158" w:after="0" w:line="364" w:lineRule="auto"/>
        <w:ind w:left="540" w:right="639" w:firstLine="0"/>
        <w:jc w:val="both"/>
        <w:rPr>
          <w:sz w:val="24"/>
        </w:rPr>
      </w:pPr>
      <w:r>
        <w:rPr>
          <w:sz w:val="24"/>
        </w:rPr>
        <w:t>交工验收证书签发后 14</w:t>
      </w:r>
      <w:r>
        <w:rPr>
          <w:spacing w:val="-1"/>
          <w:sz w:val="24"/>
        </w:rPr>
        <w:t xml:space="preserve"> 天内，承包人应向发包人缴纳质量保证金。质量保证金</w:t>
      </w:r>
      <w:r>
        <w:rPr>
          <w:sz w:val="24"/>
        </w:rPr>
        <w:t>可采用银行保函或现金、支票形式，金额应符合项目专用条款数据表的规定。采用银行保函时，出具保函的银行须具有相应担保能力，且按照发包人批准的格式出具，所需费</w:t>
      </w:r>
    </w:p>
    <w:p>
      <w:pPr>
        <w:spacing w:after="0" w:line="364" w:lineRule="auto"/>
        <w:jc w:val="both"/>
        <w:rPr>
          <w:sz w:val="24"/>
        </w:rPr>
        <w:sectPr>
          <w:pgSz w:w="11910" w:h="16840"/>
          <w:pgMar w:top="1380" w:right="720" w:bottom="1080" w:left="820" w:header="746" w:footer="891" w:gutter="0"/>
          <w:cols w:space="720" w:num="1"/>
        </w:sectPr>
      </w:pPr>
    </w:p>
    <w:p>
      <w:pPr>
        <w:pStyle w:val="5"/>
        <w:spacing w:before="61"/>
      </w:pPr>
      <w:r>
        <w:t>用由承包人承担。</w:t>
      </w:r>
    </w:p>
    <w:p>
      <w:pPr>
        <w:pStyle w:val="5"/>
        <w:spacing w:before="160" w:line="362" w:lineRule="auto"/>
        <w:ind w:right="639"/>
      </w:pPr>
      <w:r>
        <w:t>质量保证金可采用现金、支票形式提交的，发包人应在项目专用条款数据表中明确是否计付利息以及利息的计算方式。</w:t>
      </w:r>
    </w:p>
    <w:p>
      <w:pPr>
        <w:pStyle w:val="10"/>
        <w:numPr>
          <w:ilvl w:val="2"/>
          <w:numId w:val="86"/>
        </w:numPr>
        <w:tabs>
          <w:tab w:val="left" w:pos="1321"/>
        </w:tabs>
        <w:spacing w:before="5" w:after="0" w:line="364" w:lineRule="auto"/>
        <w:ind w:left="540" w:right="639" w:firstLine="0"/>
        <w:jc w:val="both"/>
        <w:rPr>
          <w:sz w:val="24"/>
        </w:rPr>
      </w:pPr>
      <w:r>
        <w:rPr>
          <w:sz w:val="24"/>
        </w:rPr>
        <w:t>在第 1.1.4.5</w:t>
      </w:r>
      <w:r>
        <w:rPr>
          <w:spacing w:val="-11"/>
          <w:sz w:val="24"/>
        </w:rPr>
        <w:t xml:space="preserve"> 目约定的缺陷责任期满，且质量监督机构已按规定对工程质量检测</w:t>
      </w:r>
      <w:r>
        <w:rPr>
          <w:spacing w:val="-13"/>
          <w:sz w:val="24"/>
        </w:rPr>
        <w:t xml:space="preserve">鉴定合格，承包人向发包人申请到期应返还承包人的质量保证金金额，发包人应在 </w:t>
      </w:r>
      <w:r>
        <w:rPr>
          <w:sz w:val="24"/>
        </w:rPr>
        <w:t>14</w:t>
      </w:r>
      <w:r>
        <w:rPr>
          <w:spacing w:val="-8"/>
          <w:sz w:val="24"/>
        </w:rPr>
        <w:t xml:space="preserve"> 天</w:t>
      </w:r>
      <w:r>
        <w:rPr>
          <w:sz w:val="24"/>
        </w:rPr>
        <w:t>内会同承包人安装合同约定的内容核实承包人是否完成缺项责任。如无异议，发包人应当在核实后将剩余保证金返还承包人。</w:t>
      </w:r>
    </w:p>
    <w:p>
      <w:pPr>
        <w:pStyle w:val="10"/>
        <w:numPr>
          <w:ilvl w:val="1"/>
          <w:numId w:val="86"/>
        </w:numPr>
        <w:tabs>
          <w:tab w:val="left" w:pos="1081"/>
        </w:tabs>
        <w:spacing w:before="0" w:after="0" w:line="305" w:lineRule="exact"/>
        <w:ind w:left="1080" w:right="0" w:hanging="541"/>
        <w:jc w:val="both"/>
        <w:rPr>
          <w:sz w:val="24"/>
        </w:rPr>
      </w:pPr>
      <w:r>
        <w:rPr>
          <w:sz w:val="24"/>
        </w:rPr>
        <w:t>交工结算</w:t>
      </w:r>
    </w:p>
    <w:p>
      <w:pPr>
        <w:pStyle w:val="5"/>
        <w:spacing w:before="160"/>
      </w:pPr>
      <w:r>
        <w:t>17.5.l 交工付款申请单本项（l）目约定为：</w:t>
      </w:r>
    </w:p>
    <w:p>
      <w:pPr>
        <w:pStyle w:val="5"/>
        <w:spacing w:before="159" w:line="362" w:lineRule="auto"/>
        <w:ind w:right="639"/>
      </w:pPr>
      <w:r>
        <w:t>承包人向监理人提交交工付款申请单（包括相关证明材料）的份数在项目专用合同条款数据表中约定；期限：交工验收证书签发后 42 天内。</w:t>
      </w:r>
    </w:p>
    <w:p>
      <w:pPr>
        <w:pStyle w:val="10"/>
        <w:numPr>
          <w:ilvl w:val="1"/>
          <w:numId w:val="86"/>
        </w:numPr>
        <w:tabs>
          <w:tab w:val="left" w:pos="1081"/>
        </w:tabs>
        <w:spacing w:before="5" w:after="0" w:line="240" w:lineRule="auto"/>
        <w:ind w:left="1080" w:right="0" w:hanging="541"/>
        <w:jc w:val="left"/>
        <w:rPr>
          <w:sz w:val="24"/>
        </w:rPr>
      </w:pPr>
      <w:r>
        <w:rPr>
          <w:sz w:val="24"/>
        </w:rPr>
        <w:t>最终结清</w:t>
      </w:r>
    </w:p>
    <w:p>
      <w:pPr>
        <w:pStyle w:val="10"/>
        <w:numPr>
          <w:ilvl w:val="2"/>
          <w:numId w:val="86"/>
        </w:numPr>
        <w:tabs>
          <w:tab w:val="left" w:pos="1321"/>
        </w:tabs>
        <w:spacing w:before="160" w:after="0" w:line="240" w:lineRule="auto"/>
        <w:ind w:left="1320" w:right="0" w:hanging="781"/>
        <w:jc w:val="left"/>
        <w:rPr>
          <w:sz w:val="24"/>
        </w:rPr>
      </w:pPr>
      <w:r>
        <w:rPr>
          <w:sz w:val="24"/>
        </w:rPr>
        <w:t>最终结清申请单本项（1）目约定为：</w:t>
      </w:r>
    </w:p>
    <w:p>
      <w:pPr>
        <w:pStyle w:val="5"/>
        <w:spacing w:before="158" w:line="364" w:lineRule="auto"/>
        <w:ind w:right="639"/>
      </w:pPr>
      <w:r>
        <w:t>承包人向监理人提交最终结清申请单（包括相关证明材料）的份数在项目专用合同条款数据表中约定；期限：缺陷责任期终止证书签发后 28 天内。</w:t>
      </w:r>
    </w:p>
    <w:p>
      <w:pPr>
        <w:pStyle w:val="5"/>
        <w:spacing w:line="364" w:lineRule="auto"/>
        <w:ind w:right="639"/>
      </w:pPr>
      <w:r>
        <w:t>最终结清申请单中的总金额应认为是代表了根据合同规定应付给承包人的全部款项的最后结算。</w:t>
      </w:r>
    </w:p>
    <w:p>
      <w:pPr>
        <w:pStyle w:val="10"/>
        <w:numPr>
          <w:ilvl w:val="0"/>
          <w:numId w:val="86"/>
        </w:numPr>
        <w:tabs>
          <w:tab w:val="left" w:pos="902"/>
        </w:tabs>
        <w:spacing w:before="0" w:after="0" w:line="306" w:lineRule="exact"/>
        <w:ind w:left="901" w:right="0" w:hanging="362"/>
        <w:jc w:val="left"/>
        <w:rPr>
          <w:sz w:val="24"/>
        </w:rPr>
      </w:pPr>
      <w:r>
        <w:rPr>
          <w:sz w:val="24"/>
        </w:rPr>
        <w:t>交工验收</w:t>
      </w:r>
    </w:p>
    <w:p>
      <w:pPr>
        <w:pStyle w:val="10"/>
        <w:numPr>
          <w:ilvl w:val="1"/>
          <w:numId w:val="91"/>
        </w:numPr>
        <w:tabs>
          <w:tab w:val="left" w:pos="1081"/>
        </w:tabs>
        <w:spacing w:before="159" w:after="0" w:line="362" w:lineRule="auto"/>
        <w:ind w:left="540" w:right="7304" w:firstLine="0"/>
        <w:jc w:val="left"/>
        <w:rPr>
          <w:sz w:val="24"/>
        </w:rPr>
      </w:pPr>
      <w:r>
        <w:rPr>
          <w:sz w:val="24"/>
        </w:rPr>
        <w:t>交工验收申请报告本款第（2）</w:t>
      </w:r>
      <w:r>
        <w:rPr>
          <w:spacing w:val="-4"/>
          <w:sz w:val="24"/>
        </w:rPr>
        <w:t>项约定为：</w:t>
      </w:r>
    </w:p>
    <w:p>
      <w:pPr>
        <w:pStyle w:val="5"/>
        <w:spacing w:before="5" w:line="362" w:lineRule="auto"/>
        <w:ind w:right="1424"/>
      </w:pPr>
      <w:r>
        <w:t>竣工资料的内容：承包人应按照《公路工程竣（交）工验收办法》和相关规定编制竣工资料。</w:t>
      </w:r>
    </w:p>
    <w:p>
      <w:pPr>
        <w:pStyle w:val="5"/>
        <w:spacing w:before="5"/>
      </w:pPr>
      <w:r>
        <w:t>竣工资料的份数在项目专用合同条款数据表中约定。</w:t>
      </w:r>
    </w:p>
    <w:p>
      <w:pPr>
        <w:pStyle w:val="10"/>
        <w:numPr>
          <w:ilvl w:val="1"/>
          <w:numId w:val="91"/>
        </w:numPr>
        <w:tabs>
          <w:tab w:val="left" w:pos="1081"/>
        </w:tabs>
        <w:spacing w:before="161" w:after="0" w:line="240" w:lineRule="auto"/>
        <w:ind w:left="1080" w:right="0" w:hanging="541"/>
        <w:jc w:val="left"/>
        <w:rPr>
          <w:sz w:val="24"/>
        </w:rPr>
      </w:pPr>
      <w:r>
        <w:rPr>
          <w:sz w:val="24"/>
        </w:rPr>
        <w:t>验收</w:t>
      </w:r>
    </w:p>
    <w:p>
      <w:pPr>
        <w:pStyle w:val="5"/>
        <w:spacing w:before="158"/>
        <w:jc w:val="both"/>
      </w:pPr>
      <w:r>
        <w:t>第 18.3.2 项补充：</w:t>
      </w:r>
    </w:p>
    <w:p>
      <w:pPr>
        <w:pStyle w:val="5"/>
        <w:spacing w:before="158" w:line="364" w:lineRule="auto"/>
        <w:ind w:right="639"/>
        <w:jc w:val="both"/>
      </w:pPr>
      <w:r>
        <w:t>交工验收由发包人主持，由发包人、监理人、质监、设计、施工、运营、管理养护等有关部门代表组成交工验收小组，对本项目的工程质量进行评定，并写出交工验收报告报交通主管部门备案。承包人应按发包人的要求提交竣工资料，完成交工验收准备工作。第 18.3.5 项约定为：</w:t>
      </w:r>
    </w:p>
    <w:p>
      <w:pPr>
        <w:pStyle w:val="5"/>
      </w:pPr>
      <w:r>
        <w:t>经验收合格工程的实际交工日期，以最终提交交工验收申请报告的日期为准，并在交工</w:t>
      </w:r>
    </w:p>
    <w:p>
      <w:pPr>
        <w:spacing w:after="0"/>
        <w:sectPr>
          <w:pgSz w:w="11910" w:h="16840"/>
          <w:pgMar w:top="1380" w:right="720" w:bottom="1080" w:left="820" w:header="746" w:footer="891" w:gutter="0"/>
          <w:cols w:space="720" w:num="1"/>
        </w:sectPr>
      </w:pPr>
    </w:p>
    <w:p>
      <w:pPr>
        <w:pStyle w:val="5"/>
        <w:spacing w:before="61"/>
      </w:pPr>
      <w:r>
        <w:t>验收证书中写明。</w:t>
      </w:r>
    </w:p>
    <w:p>
      <w:pPr>
        <w:pStyle w:val="5"/>
        <w:spacing w:before="160"/>
      </w:pPr>
      <w:r>
        <w:t>本款补充第 18.3.7 项：</w:t>
      </w:r>
    </w:p>
    <w:p>
      <w:pPr>
        <w:pStyle w:val="5"/>
        <w:spacing w:before="158" w:line="364" w:lineRule="auto"/>
        <w:ind w:right="639"/>
      </w:pPr>
      <w:r>
        <w:t>组织办理交工验收和签发交工验收证书的费用由发包人承担。但按照第 18.3.4 项规定达不到合格标准的交工验收费用由承包人承担。</w:t>
      </w:r>
    </w:p>
    <w:p>
      <w:pPr>
        <w:pStyle w:val="5"/>
        <w:spacing w:line="306" w:lineRule="exact"/>
      </w:pPr>
      <w:r>
        <w:t>本条补充第 18.9 款：</w:t>
      </w:r>
    </w:p>
    <w:p>
      <w:pPr>
        <w:pStyle w:val="5"/>
        <w:spacing w:before="161"/>
      </w:pPr>
      <w:r>
        <w:t>18.9 竣工文件</w:t>
      </w:r>
    </w:p>
    <w:p>
      <w:pPr>
        <w:pStyle w:val="5"/>
        <w:spacing w:before="158" w:line="364" w:lineRule="auto"/>
        <w:ind w:right="639"/>
      </w:pPr>
      <w:r>
        <w:t>承包人应按照《公路工程竣（交）工验收办法》中的相关规定，在缺陷责任期内为竣工验收补充竣工资料，并在签发缺陷责任期终止证书之前提交。</w:t>
      </w:r>
    </w:p>
    <w:p>
      <w:pPr>
        <w:pStyle w:val="10"/>
        <w:numPr>
          <w:ilvl w:val="0"/>
          <w:numId w:val="86"/>
        </w:numPr>
        <w:tabs>
          <w:tab w:val="left" w:pos="902"/>
        </w:tabs>
        <w:spacing w:before="1" w:after="0" w:line="240" w:lineRule="auto"/>
        <w:ind w:left="901" w:right="0" w:hanging="362"/>
        <w:jc w:val="left"/>
        <w:rPr>
          <w:sz w:val="24"/>
        </w:rPr>
      </w:pPr>
      <w:r>
        <w:rPr>
          <w:sz w:val="24"/>
        </w:rPr>
        <w:t>缺陷责任与保修责任</w:t>
      </w:r>
    </w:p>
    <w:p>
      <w:pPr>
        <w:pStyle w:val="5"/>
        <w:spacing w:before="158"/>
      </w:pPr>
      <w:r>
        <w:t>19.2 缺陷责任</w:t>
      </w:r>
    </w:p>
    <w:p>
      <w:pPr>
        <w:pStyle w:val="5"/>
        <w:spacing w:before="158"/>
      </w:pPr>
      <w:r>
        <w:t>第 19.2.2 项补充：</w:t>
      </w:r>
    </w:p>
    <w:p>
      <w:pPr>
        <w:pStyle w:val="5"/>
        <w:spacing w:before="161" w:line="364" w:lineRule="auto"/>
        <w:ind w:right="639"/>
      </w:pPr>
      <w:r>
        <w:t>在缺陷责任期内，承包人应尽快完成在交工验收证书中写明的未完成工作，并完成对本工程缺陷的修复或监理人指令的修补工作。</w:t>
      </w:r>
    </w:p>
    <w:p>
      <w:pPr>
        <w:pStyle w:val="5"/>
        <w:spacing w:line="364" w:lineRule="auto"/>
        <w:ind w:right="7544"/>
      </w:pPr>
      <w:r>
        <w:t>19.5 承包人的进入权本款补充：</w:t>
      </w:r>
    </w:p>
    <w:p>
      <w:pPr>
        <w:pStyle w:val="5"/>
        <w:spacing w:line="364" w:lineRule="auto"/>
        <w:ind w:right="639"/>
      </w:pPr>
      <w:r>
        <w:t>承包人在缺陷修复施工过程中，应服从管养单位的有关安全管理规定，由于承包人自身原因造成的人员伤亡、设备和材料的损毁及罚款等责任由承包人自负。</w:t>
      </w:r>
    </w:p>
    <w:p>
      <w:pPr>
        <w:pStyle w:val="5"/>
        <w:spacing w:line="364" w:lineRule="auto"/>
        <w:ind w:right="8264"/>
      </w:pPr>
      <w:r>
        <w:t>19.7 保修责任本款细化为：</w:t>
      </w:r>
    </w:p>
    <w:p>
      <w:pPr>
        <w:pStyle w:val="10"/>
        <w:numPr>
          <w:ilvl w:val="0"/>
          <w:numId w:val="92"/>
        </w:numPr>
        <w:tabs>
          <w:tab w:val="left" w:pos="1146"/>
        </w:tabs>
        <w:spacing w:before="0" w:after="0" w:line="364" w:lineRule="auto"/>
        <w:ind w:left="540" w:right="519" w:firstLine="0"/>
        <w:jc w:val="left"/>
        <w:rPr>
          <w:sz w:val="24"/>
        </w:rPr>
      </w:pPr>
      <w:r>
        <w:rPr>
          <w:sz w:val="24"/>
        </w:rPr>
        <w:t>保修期自实际交工日期起计算，具体期限在项目专用合同条款数据表中约 定。保修期与缺陷责任期重叠的期间内，承包人的保修责任同缺陷责任。在缺陷责任期满后的</w:t>
      </w:r>
      <w:r>
        <w:rPr>
          <w:spacing w:val="-7"/>
          <w:sz w:val="24"/>
        </w:rPr>
        <w:t xml:space="preserve">保修期内，承包人可不在工地留有办事人员和机械设备，但必须随时与发包人保持联系， </w:t>
      </w:r>
      <w:r>
        <w:rPr>
          <w:sz w:val="24"/>
        </w:rPr>
        <w:t>在保修期内承包人应对由于施工质量原因造成的损坏自费进行修复。</w:t>
      </w:r>
    </w:p>
    <w:p>
      <w:pPr>
        <w:pStyle w:val="10"/>
        <w:numPr>
          <w:ilvl w:val="0"/>
          <w:numId w:val="92"/>
        </w:numPr>
        <w:tabs>
          <w:tab w:val="left" w:pos="1142"/>
        </w:tabs>
        <w:spacing w:before="0" w:after="0" w:line="362" w:lineRule="auto"/>
        <w:ind w:left="540" w:right="639" w:firstLine="0"/>
        <w:jc w:val="left"/>
        <w:rPr>
          <w:sz w:val="24"/>
        </w:rPr>
      </w:pPr>
      <w:r>
        <w:rPr>
          <w:spacing w:val="-4"/>
          <w:sz w:val="24"/>
        </w:rPr>
        <w:t>在全部工程交工验收前，已经发包人提前验收的单位工程，其保修期的起算日期相</w:t>
      </w:r>
      <w:r>
        <w:rPr>
          <w:sz w:val="24"/>
        </w:rPr>
        <w:t>应提前。</w:t>
      </w:r>
    </w:p>
    <w:p>
      <w:pPr>
        <w:pStyle w:val="10"/>
        <w:numPr>
          <w:ilvl w:val="0"/>
          <w:numId w:val="92"/>
        </w:numPr>
        <w:tabs>
          <w:tab w:val="left" w:pos="1142"/>
        </w:tabs>
        <w:spacing w:before="0" w:after="0" w:line="240" w:lineRule="auto"/>
        <w:ind w:left="1141" w:right="0" w:hanging="602"/>
        <w:jc w:val="left"/>
        <w:rPr>
          <w:sz w:val="24"/>
        </w:rPr>
      </w:pPr>
      <w:r>
        <w:rPr>
          <w:sz w:val="24"/>
        </w:rPr>
        <w:t>工程保修期终止后 28 天内，监理人签发保修期终止证书。</w:t>
      </w:r>
    </w:p>
    <w:p>
      <w:pPr>
        <w:pStyle w:val="10"/>
        <w:numPr>
          <w:ilvl w:val="0"/>
          <w:numId w:val="92"/>
        </w:numPr>
        <w:tabs>
          <w:tab w:val="left" w:pos="1146"/>
        </w:tabs>
        <w:spacing w:before="158" w:after="0" w:line="364" w:lineRule="auto"/>
        <w:ind w:left="540" w:right="639" w:firstLine="0"/>
        <w:jc w:val="both"/>
        <w:rPr>
          <w:sz w:val="24"/>
        </w:rPr>
      </w:pPr>
      <w:r>
        <w:rPr>
          <w:sz w:val="24"/>
        </w:rPr>
        <w:t>若承包人不履行保修义务和责任，则承包人应承担由于违约造成的法律后 果，并由发包人将其违约行为上报省级交通主管部门，作为不良记录纳入公路建设时常信用信息管理系统。</w:t>
      </w:r>
    </w:p>
    <w:p>
      <w:pPr>
        <w:pStyle w:val="10"/>
        <w:numPr>
          <w:ilvl w:val="0"/>
          <w:numId w:val="86"/>
        </w:numPr>
        <w:tabs>
          <w:tab w:val="left" w:pos="902"/>
        </w:tabs>
        <w:spacing w:before="0" w:after="0" w:line="307" w:lineRule="exact"/>
        <w:ind w:left="901" w:right="0" w:hanging="362"/>
        <w:jc w:val="left"/>
        <w:rPr>
          <w:sz w:val="24"/>
        </w:rPr>
      </w:pPr>
      <w:r>
        <w:rPr>
          <w:sz w:val="24"/>
        </w:rPr>
        <w:t>保险</w:t>
      </w:r>
    </w:p>
    <w:p>
      <w:pPr>
        <w:spacing w:after="0" w:line="307" w:lineRule="exact"/>
        <w:jc w:val="left"/>
        <w:rPr>
          <w:sz w:val="24"/>
        </w:rPr>
        <w:sectPr>
          <w:pgSz w:w="11910" w:h="16840"/>
          <w:pgMar w:top="1380" w:right="720" w:bottom="1080" w:left="820" w:header="746" w:footer="891" w:gutter="0"/>
          <w:cols w:space="720" w:num="1"/>
        </w:sectPr>
      </w:pPr>
    </w:p>
    <w:p>
      <w:pPr>
        <w:pStyle w:val="10"/>
        <w:numPr>
          <w:ilvl w:val="1"/>
          <w:numId w:val="86"/>
        </w:numPr>
        <w:tabs>
          <w:tab w:val="left" w:pos="1081"/>
        </w:tabs>
        <w:spacing w:before="61" w:after="0" w:line="364" w:lineRule="auto"/>
        <w:ind w:left="540" w:right="8324" w:firstLine="0"/>
        <w:jc w:val="left"/>
        <w:rPr>
          <w:sz w:val="24"/>
        </w:rPr>
      </w:pPr>
      <w:r>
        <w:rPr>
          <w:spacing w:val="-5"/>
          <w:sz w:val="24"/>
        </w:rPr>
        <w:t>工程保险</w:t>
      </w:r>
      <w:r>
        <w:rPr>
          <w:sz w:val="24"/>
        </w:rPr>
        <w:t>本款约定为：</w:t>
      </w:r>
    </w:p>
    <w:p>
      <w:pPr>
        <w:pStyle w:val="5"/>
        <w:spacing w:line="364" w:lineRule="auto"/>
        <w:ind w:right="642"/>
      </w:pPr>
      <w:r>
        <w:t>建筑工程—切险的投保内容：为本合同工程的永久工程、临时工程和设备及已运至施工工地用于永久工程的材料和设备所投的保险。</w:t>
      </w:r>
    </w:p>
    <w:p>
      <w:pPr>
        <w:pStyle w:val="5"/>
        <w:spacing w:line="306" w:lineRule="exact"/>
      </w:pPr>
      <w:r>
        <w:t>保险金额：工程量清单第 100 章（不含建筑工程一切险及第三者责任险的保险</w:t>
      </w:r>
    </w:p>
    <w:p>
      <w:pPr>
        <w:pStyle w:val="5"/>
        <w:spacing w:before="159"/>
      </w:pPr>
      <w:r>
        <w:t>费）至 700 章的合计金额。</w:t>
      </w:r>
    </w:p>
    <w:p>
      <w:pPr>
        <w:pStyle w:val="5"/>
        <w:spacing w:before="158"/>
      </w:pPr>
      <w:r>
        <w:t>保险费率：在项目专用条款数据表中约定。</w:t>
      </w:r>
    </w:p>
    <w:p>
      <w:pPr>
        <w:pStyle w:val="5"/>
        <w:spacing w:before="160" w:line="364" w:lineRule="auto"/>
        <w:ind w:right="574"/>
      </w:pPr>
      <w:r>
        <w:t>保险期限：开工日起直至本合同工程签发缺陷责任期终止证书止（即合同工期＋ 缺陷责任期）</w:t>
      </w:r>
    </w:p>
    <w:p>
      <w:pPr>
        <w:pStyle w:val="5"/>
        <w:spacing w:line="362" w:lineRule="auto"/>
        <w:ind w:right="639"/>
      </w:pPr>
      <w:r>
        <w:t>承包人应以发包人和承包人的共同名义投保建筑工程一切险。建筑工程一切险的保险费由承包人报价时列入工程量清单 100 章内。发包人在接到保险单后，将按照保</w:t>
      </w:r>
    </w:p>
    <w:p>
      <w:pPr>
        <w:pStyle w:val="5"/>
        <w:spacing w:before="4"/>
      </w:pPr>
      <w:r>
        <w:t>险单的费用直接向承包人支付。</w:t>
      </w:r>
    </w:p>
    <w:p>
      <w:pPr>
        <w:pStyle w:val="10"/>
        <w:numPr>
          <w:ilvl w:val="1"/>
          <w:numId w:val="93"/>
        </w:numPr>
        <w:tabs>
          <w:tab w:val="left" w:pos="1081"/>
        </w:tabs>
        <w:spacing w:before="161" w:after="0" w:line="362" w:lineRule="auto"/>
        <w:ind w:left="540" w:right="7664" w:firstLine="0"/>
        <w:jc w:val="left"/>
        <w:rPr>
          <w:sz w:val="24"/>
        </w:rPr>
      </w:pPr>
      <w:r>
        <w:rPr>
          <w:sz w:val="24"/>
        </w:rPr>
        <w:t>第三者责任险第 20.4.2</w:t>
      </w:r>
      <w:r>
        <w:rPr>
          <w:spacing w:val="-4"/>
          <w:sz w:val="24"/>
        </w:rPr>
        <w:t xml:space="preserve"> 项补充：</w:t>
      </w:r>
    </w:p>
    <w:p>
      <w:pPr>
        <w:pStyle w:val="5"/>
        <w:spacing w:before="5" w:line="362" w:lineRule="auto"/>
        <w:ind w:right="574"/>
      </w:pPr>
      <w:r>
        <w:t>第三者责任险的保险费由承包人报价时列入工程量清单 100 章内。发包人在接到保险单后，将按照保险单的费用直接向承包人支付。</w:t>
      </w:r>
    </w:p>
    <w:p>
      <w:pPr>
        <w:pStyle w:val="10"/>
        <w:numPr>
          <w:ilvl w:val="1"/>
          <w:numId w:val="93"/>
        </w:numPr>
        <w:tabs>
          <w:tab w:val="left" w:pos="1081"/>
        </w:tabs>
        <w:spacing w:before="5" w:after="0" w:line="362" w:lineRule="auto"/>
        <w:ind w:left="540" w:right="8324" w:firstLine="0"/>
        <w:jc w:val="left"/>
        <w:rPr>
          <w:sz w:val="24"/>
        </w:rPr>
      </w:pPr>
      <w:r>
        <w:rPr>
          <w:spacing w:val="-5"/>
          <w:sz w:val="24"/>
        </w:rPr>
        <w:t>其他保险</w:t>
      </w:r>
      <w:r>
        <w:rPr>
          <w:sz w:val="24"/>
        </w:rPr>
        <w:t>本款约定为：</w:t>
      </w:r>
    </w:p>
    <w:p>
      <w:pPr>
        <w:pStyle w:val="5"/>
        <w:spacing w:before="5" w:line="362" w:lineRule="auto"/>
        <w:ind w:right="639"/>
      </w:pPr>
      <w:r>
        <w:t>承包人应为其施工设备等办理保险，其投保金额应足以现场重量。办理本款保险的一切费用均由承包人承担，并包括在工程量清单的单价及总额价中，发包人不单独支付。</w:t>
      </w:r>
    </w:p>
    <w:p>
      <w:pPr>
        <w:pStyle w:val="10"/>
        <w:numPr>
          <w:ilvl w:val="1"/>
          <w:numId w:val="93"/>
        </w:numPr>
        <w:tabs>
          <w:tab w:val="left" w:pos="1081"/>
        </w:tabs>
        <w:spacing w:before="4" w:after="0" w:line="240" w:lineRule="auto"/>
        <w:ind w:left="1080" w:right="0" w:hanging="541"/>
        <w:jc w:val="left"/>
        <w:rPr>
          <w:sz w:val="24"/>
        </w:rPr>
      </w:pPr>
      <w:r>
        <w:rPr>
          <w:sz w:val="24"/>
        </w:rPr>
        <w:t>对各项保险的一般要求</w:t>
      </w:r>
    </w:p>
    <w:p>
      <w:pPr>
        <w:pStyle w:val="10"/>
        <w:numPr>
          <w:ilvl w:val="2"/>
          <w:numId w:val="93"/>
        </w:numPr>
        <w:tabs>
          <w:tab w:val="left" w:pos="1321"/>
        </w:tabs>
        <w:spacing w:before="159" w:after="0" w:line="240" w:lineRule="auto"/>
        <w:ind w:left="1320" w:right="0" w:hanging="781"/>
        <w:jc w:val="left"/>
        <w:rPr>
          <w:sz w:val="24"/>
        </w:rPr>
      </w:pPr>
      <w:r>
        <w:rPr>
          <w:sz w:val="24"/>
        </w:rPr>
        <w:t>保险凭证本项约定为：</w:t>
      </w:r>
    </w:p>
    <w:p>
      <w:pPr>
        <w:pStyle w:val="5"/>
        <w:spacing w:before="160"/>
      </w:pPr>
      <w:r>
        <w:t>承包人向发包人提交各项保险生效的证据和保险单副本的期限：开工后 56 天内。</w:t>
      </w:r>
    </w:p>
    <w:p>
      <w:pPr>
        <w:pStyle w:val="10"/>
        <w:numPr>
          <w:ilvl w:val="2"/>
          <w:numId w:val="94"/>
        </w:numPr>
        <w:tabs>
          <w:tab w:val="left" w:pos="1321"/>
        </w:tabs>
        <w:spacing w:before="161" w:after="0" w:line="240" w:lineRule="auto"/>
        <w:ind w:left="1320" w:right="0" w:hanging="781"/>
        <w:jc w:val="left"/>
        <w:rPr>
          <w:sz w:val="24"/>
        </w:rPr>
      </w:pPr>
      <w:r>
        <w:rPr>
          <w:sz w:val="24"/>
        </w:rPr>
        <w:t>持续保险本项补充：</w:t>
      </w:r>
    </w:p>
    <w:p>
      <w:pPr>
        <w:pStyle w:val="5"/>
        <w:spacing w:before="158"/>
      </w:pPr>
      <w:r>
        <w:t>在整个合同期内，承包人应按合同条款保证足够的保险额。</w:t>
      </w:r>
    </w:p>
    <w:p>
      <w:pPr>
        <w:pStyle w:val="10"/>
        <w:numPr>
          <w:ilvl w:val="2"/>
          <w:numId w:val="94"/>
        </w:numPr>
        <w:tabs>
          <w:tab w:val="left" w:pos="1321"/>
        </w:tabs>
        <w:spacing w:before="158" w:after="0" w:line="240" w:lineRule="auto"/>
        <w:ind w:left="1320" w:right="0" w:hanging="781"/>
        <w:jc w:val="left"/>
        <w:rPr>
          <w:sz w:val="24"/>
        </w:rPr>
      </w:pPr>
      <w:r>
        <w:rPr>
          <w:sz w:val="24"/>
        </w:rPr>
        <w:t>保险金不足的补偿本项细化为：</w:t>
      </w:r>
    </w:p>
    <w:p>
      <w:pPr>
        <w:pStyle w:val="5"/>
        <w:spacing w:before="160"/>
      </w:pPr>
      <w:r>
        <w:t>保险金不足补偿损失的（包括免赔额和超过赔偿限额的部分），应由承包人和</w:t>
      </w:r>
    </w:p>
    <w:p>
      <w:pPr>
        <w:pStyle w:val="5"/>
        <w:spacing w:before="158"/>
      </w:pPr>
      <w:r>
        <w:t>（或）发包人按合同约定负责补偿。</w:t>
      </w:r>
    </w:p>
    <w:p>
      <w:pPr>
        <w:pStyle w:val="10"/>
        <w:numPr>
          <w:ilvl w:val="2"/>
          <w:numId w:val="94"/>
        </w:numPr>
        <w:tabs>
          <w:tab w:val="left" w:pos="1321"/>
        </w:tabs>
        <w:spacing w:before="161" w:after="0" w:line="240" w:lineRule="auto"/>
        <w:ind w:left="1320" w:right="0" w:hanging="781"/>
        <w:jc w:val="left"/>
        <w:rPr>
          <w:sz w:val="24"/>
        </w:rPr>
      </w:pPr>
      <w:r>
        <w:rPr>
          <w:sz w:val="24"/>
        </w:rPr>
        <w:t>未按约定投保的补救本项（2）目细化为：</w:t>
      </w:r>
    </w:p>
    <w:p>
      <w:pPr>
        <w:pStyle w:val="5"/>
        <w:spacing w:before="160"/>
      </w:pPr>
      <w:r>
        <w:t>（2）由于负有投保义务的一方当事人未按合同约定办理某项保险，或未按保险单规定的</w:t>
      </w:r>
    </w:p>
    <w:p>
      <w:pPr>
        <w:spacing w:after="0"/>
        <w:sectPr>
          <w:pgSz w:w="11910" w:h="16840"/>
          <w:pgMar w:top="1380" w:right="720" w:bottom="1080" w:left="820" w:header="746" w:footer="891" w:gutter="0"/>
          <w:cols w:space="720" w:num="1"/>
        </w:sectPr>
      </w:pPr>
    </w:p>
    <w:p>
      <w:pPr>
        <w:pStyle w:val="5"/>
        <w:spacing w:before="61" w:line="364" w:lineRule="auto"/>
        <w:ind w:right="639"/>
        <w:jc w:val="both"/>
      </w:pPr>
      <w:r>
        <w:rPr>
          <w:spacing w:val="-4"/>
        </w:rPr>
        <w:t>条件和期限及时间向保险人报告事故情况，或未按要求的保险期限进行投保， 或未按要</w:t>
      </w:r>
      <w:r>
        <w:t>求投保足够的保险金额，导致受益人未能或未能全部得到保险人的赔偿，原应从该项保险得到的保险金应由负有投保义务的一方当事人支付。</w:t>
      </w:r>
    </w:p>
    <w:p>
      <w:pPr>
        <w:pStyle w:val="10"/>
        <w:numPr>
          <w:ilvl w:val="0"/>
          <w:numId w:val="86"/>
        </w:numPr>
        <w:tabs>
          <w:tab w:val="left" w:pos="902"/>
        </w:tabs>
        <w:spacing w:before="0" w:after="0" w:line="307" w:lineRule="exact"/>
        <w:ind w:left="901" w:right="0" w:hanging="362"/>
        <w:jc w:val="left"/>
        <w:rPr>
          <w:sz w:val="24"/>
        </w:rPr>
      </w:pPr>
      <w:r>
        <w:rPr>
          <w:sz w:val="24"/>
        </w:rPr>
        <w:t>不可抗力</w:t>
      </w:r>
    </w:p>
    <w:p>
      <w:pPr>
        <w:pStyle w:val="10"/>
        <w:numPr>
          <w:ilvl w:val="1"/>
          <w:numId w:val="86"/>
        </w:numPr>
        <w:tabs>
          <w:tab w:val="left" w:pos="1081"/>
        </w:tabs>
        <w:spacing w:before="158" w:after="0" w:line="240" w:lineRule="auto"/>
        <w:ind w:left="1080" w:right="0" w:hanging="541"/>
        <w:jc w:val="left"/>
        <w:rPr>
          <w:sz w:val="24"/>
        </w:rPr>
      </w:pPr>
      <w:r>
        <w:rPr>
          <w:sz w:val="24"/>
        </w:rPr>
        <w:t>不可抗力的确认</w:t>
      </w:r>
    </w:p>
    <w:p>
      <w:pPr>
        <w:pStyle w:val="10"/>
        <w:numPr>
          <w:ilvl w:val="2"/>
          <w:numId w:val="86"/>
        </w:numPr>
        <w:tabs>
          <w:tab w:val="left" w:pos="1321"/>
        </w:tabs>
        <w:spacing w:before="160" w:after="0" w:line="240" w:lineRule="auto"/>
        <w:ind w:left="1320" w:right="0" w:hanging="781"/>
        <w:jc w:val="left"/>
        <w:rPr>
          <w:sz w:val="24"/>
        </w:rPr>
      </w:pPr>
      <w:r>
        <w:rPr>
          <w:sz w:val="24"/>
        </w:rPr>
        <w:t>项细化为：</w:t>
      </w:r>
    </w:p>
    <w:p>
      <w:pPr>
        <w:pStyle w:val="5"/>
        <w:spacing w:before="158" w:line="364" w:lineRule="auto"/>
        <w:ind w:right="639"/>
      </w:pPr>
      <w:r>
        <w:t>不可抗力是指承包人和发包人在订立合同时不可预见，在工程施工过程中不可避免发生并不能克服的自然灾害和社会性突发事件。包括但不限于：</w:t>
      </w:r>
    </w:p>
    <w:p>
      <w:pPr>
        <w:pStyle w:val="10"/>
        <w:numPr>
          <w:ilvl w:val="0"/>
          <w:numId w:val="95"/>
        </w:numPr>
        <w:tabs>
          <w:tab w:val="left" w:pos="1142"/>
        </w:tabs>
        <w:spacing w:before="1" w:after="0" w:line="240" w:lineRule="auto"/>
        <w:ind w:left="1141" w:right="0" w:hanging="602"/>
        <w:jc w:val="left"/>
        <w:rPr>
          <w:sz w:val="24"/>
        </w:rPr>
      </w:pPr>
      <w:r>
        <w:rPr>
          <w:sz w:val="24"/>
        </w:rPr>
        <w:t>地震、海啸、火山爆发、泥石流、暴雨（雪）、台风、龙卷风、水灾等自然灾害；</w:t>
      </w:r>
    </w:p>
    <w:p>
      <w:pPr>
        <w:pStyle w:val="10"/>
        <w:numPr>
          <w:ilvl w:val="0"/>
          <w:numId w:val="95"/>
        </w:numPr>
        <w:tabs>
          <w:tab w:val="left" w:pos="1142"/>
        </w:tabs>
        <w:spacing w:before="158" w:after="0" w:line="362" w:lineRule="auto"/>
        <w:ind w:left="540" w:right="639" w:firstLine="0"/>
        <w:jc w:val="left"/>
        <w:rPr>
          <w:sz w:val="24"/>
        </w:rPr>
      </w:pPr>
      <w:r>
        <w:rPr>
          <w:spacing w:val="-8"/>
          <w:sz w:val="24"/>
        </w:rPr>
        <w:t>战争、骚乱、暴动，但纯属承包人或其分包人派遣与雇用的人员由于本合同工程施</w:t>
      </w:r>
      <w:r>
        <w:rPr>
          <w:sz w:val="24"/>
        </w:rPr>
        <w:t>工原因引起者除外；</w:t>
      </w:r>
    </w:p>
    <w:p>
      <w:pPr>
        <w:pStyle w:val="10"/>
        <w:numPr>
          <w:ilvl w:val="0"/>
          <w:numId w:val="95"/>
        </w:numPr>
        <w:tabs>
          <w:tab w:val="left" w:pos="1142"/>
        </w:tabs>
        <w:spacing w:before="5" w:after="0" w:line="240" w:lineRule="auto"/>
        <w:ind w:left="1141" w:right="0" w:hanging="602"/>
        <w:jc w:val="left"/>
        <w:rPr>
          <w:sz w:val="24"/>
        </w:rPr>
      </w:pPr>
      <w:r>
        <w:rPr>
          <w:sz w:val="24"/>
        </w:rPr>
        <w:t>核反应、辐射或放射性污染；</w:t>
      </w:r>
    </w:p>
    <w:p>
      <w:pPr>
        <w:pStyle w:val="10"/>
        <w:numPr>
          <w:ilvl w:val="0"/>
          <w:numId w:val="95"/>
        </w:numPr>
        <w:tabs>
          <w:tab w:val="left" w:pos="1142"/>
        </w:tabs>
        <w:spacing w:before="161" w:after="0" w:line="240" w:lineRule="auto"/>
        <w:ind w:left="1141" w:right="0" w:hanging="602"/>
        <w:jc w:val="left"/>
        <w:rPr>
          <w:sz w:val="24"/>
        </w:rPr>
      </w:pPr>
      <w:r>
        <w:rPr>
          <w:sz w:val="24"/>
        </w:rPr>
        <w:t>空中飞行物体附落或非发包人或承包人责任造成的爆炸、火灾；</w:t>
      </w:r>
    </w:p>
    <w:p>
      <w:pPr>
        <w:pStyle w:val="10"/>
        <w:numPr>
          <w:ilvl w:val="0"/>
          <w:numId w:val="95"/>
        </w:numPr>
        <w:tabs>
          <w:tab w:val="left" w:pos="1142"/>
        </w:tabs>
        <w:spacing w:before="158" w:after="0" w:line="240" w:lineRule="auto"/>
        <w:ind w:left="1141" w:right="0" w:hanging="602"/>
        <w:jc w:val="left"/>
        <w:rPr>
          <w:sz w:val="24"/>
        </w:rPr>
      </w:pPr>
      <w:r>
        <w:rPr>
          <w:sz w:val="24"/>
        </w:rPr>
        <w:t>瘟疫；</w:t>
      </w:r>
    </w:p>
    <w:p>
      <w:pPr>
        <w:pStyle w:val="10"/>
        <w:numPr>
          <w:ilvl w:val="0"/>
          <w:numId w:val="95"/>
        </w:numPr>
        <w:tabs>
          <w:tab w:val="left" w:pos="1142"/>
        </w:tabs>
        <w:spacing w:before="161" w:after="0" w:line="240" w:lineRule="auto"/>
        <w:ind w:left="1141" w:right="0" w:hanging="602"/>
        <w:jc w:val="left"/>
        <w:rPr>
          <w:sz w:val="24"/>
        </w:rPr>
      </w:pPr>
      <w:r>
        <w:rPr>
          <w:sz w:val="24"/>
        </w:rPr>
        <w:t>项目专用合同条款约定的其他情形。</w:t>
      </w:r>
    </w:p>
    <w:p>
      <w:pPr>
        <w:pStyle w:val="5"/>
        <w:spacing w:before="158"/>
      </w:pPr>
      <w:r>
        <w:t>21.3 不可抗力后果及其处理</w:t>
      </w:r>
    </w:p>
    <w:p>
      <w:pPr>
        <w:pStyle w:val="5"/>
        <w:spacing w:before="160"/>
      </w:pPr>
      <w:r>
        <w:t>21.3.4 因不可抗力解除合同本项细化为：</w:t>
      </w:r>
    </w:p>
    <w:p>
      <w:pPr>
        <w:pStyle w:val="5"/>
        <w:spacing w:before="158" w:line="364" w:lineRule="auto"/>
        <w:ind w:right="519"/>
      </w:pPr>
      <w:r>
        <w:rPr>
          <w:spacing w:val="-4"/>
        </w:rPr>
        <w:t xml:space="preserve">合同一方当事人因不可抗力不能履行合同的，应当及时通知对方解除合同。合同解除后， </w:t>
      </w:r>
      <w:r>
        <w:rPr>
          <w:spacing w:val="2"/>
        </w:rPr>
        <w:t xml:space="preserve">承包人应按照第 </w:t>
      </w:r>
      <w:r>
        <w:t>22.2.5 项约定撤离施工场地。已经订货的材料、设备由订货方负责退</w:t>
      </w:r>
      <w:r>
        <w:rPr>
          <w:spacing w:val="-5"/>
        </w:rPr>
        <w:t>货或解除订货合同，不能退还的货款和因退货、解除订货合同发生的费作， 由发包人承担，因未有时退货造成的损失由责任方承担。合同解除后的付款，参照第</w:t>
      </w:r>
    </w:p>
    <w:p>
      <w:pPr>
        <w:pStyle w:val="5"/>
        <w:spacing w:line="364" w:lineRule="auto"/>
        <w:ind w:right="639"/>
      </w:pPr>
      <w:r>
        <w:t>22.2.4 项约定，由监理人按第 3.5 款商定或确定，但由于解除合同应赔偿的承包人损失不予考虑。</w:t>
      </w:r>
    </w:p>
    <w:p>
      <w:pPr>
        <w:pStyle w:val="10"/>
        <w:numPr>
          <w:ilvl w:val="0"/>
          <w:numId w:val="86"/>
        </w:numPr>
        <w:tabs>
          <w:tab w:val="left" w:pos="902"/>
        </w:tabs>
        <w:spacing w:before="0" w:after="0" w:line="240" w:lineRule="auto"/>
        <w:ind w:left="901" w:right="0" w:hanging="362"/>
        <w:jc w:val="left"/>
        <w:rPr>
          <w:sz w:val="24"/>
        </w:rPr>
      </w:pPr>
      <w:r>
        <w:rPr>
          <w:sz w:val="24"/>
        </w:rPr>
        <w:t>违约</w:t>
      </w:r>
    </w:p>
    <w:p>
      <w:pPr>
        <w:pStyle w:val="10"/>
        <w:numPr>
          <w:ilvl w:val="1"/>
          <w:numId w:val="86"/>
        </w:numPr>
        <w:tabs>
          <w:tab w:val="left" w:pos="1081"/>
        </w:tabs>
        <w:spacing w:before="157" w:after="0" w:line="240" w:lineRule="auto"/>
        <w:ind w:left="1080" w:right="0" w:hanging="541"/>
        <w:jc w:val="left"/>
        <w:rPr>
          <w:sz w:val="24"/>
        </w:rPr>
      </w:pPr>
      <w:r>
        <w:rPr>
          <w:sz w:val="24"/>
        </w:rPr>
        <w:t>承包人违约</w:t>
      </w:r>
    </w:p>
    <w:p>
      <w:pPr>
        <w:pStyle w:val="10"/>
        <w:numPr>
          <w:ilvl w:val="2"/>
          <w:numId w:val="86"/>
        </w:numPr>
        <w:tabs>
          <w:tab w:val="left" w:pos="1321"/>
        </w:tabs>
        <w:spacing w:before="158" w:after="0" w:line="364" w:lineRule="auto"/>
        <w:ind w:left="540" w:right="7124" w:firstLine="0"/>
        <w:jc w:val="left"/>
        <w:rPr>
          <w:sz w:val="24"/>
        </w:rPr>
      </w:pPr>
      <w:r>
        <w:rPr>
          <w:spacing w:val="-3"/>
          <w:sz w:val="24"/>
        </w:rPr>
        <w:t>承包人违约的情形</w:t>
      </w:r>
      <w:r>
        <w:rPr>
          <w:sz w:val="24"/>
        </w:rPr>
        <w:t>本项（2）目细化为：</w:t>
      </w:r>
    </w:p>
    <w:p>
      <w:pPr>
        <w:pStyle w:val="5"/>
        <w:spacing w:line="364" w:lineRule="auto"/>
        <w:ind w:right="574"/>
      </w:pPr>
      <w:r>
        <w:t>（2）承包人违反第 5.3 款或第 6.4 款的约定，未经监理人批准，私自将已按合同约定进入施工场地的施工设备、临时设施、材料或工程设备撤离施工场地；</w:t>
      </w:r>
    </w:p>
    <w:p>
      <w:pPr>
        <w:pStyle w:val="5"/>
      </w:pPr>
      <w:r>
        <w:t>本项（7）目细化为：</w:t>
      </w:r>
    </w:p>
    <w:p>
      <w:pPr>
        <w:spacing w:after="0"/>
        <w:sectPr>
          <w:footerReference r:id="rId14" w:type="default"/>
          <w:pgSz w:w="11910" w:h="16840"/>
          <w:pgMar w:top="1380" w:right="720" w:bottom="1080" w:left="820" w:header="746" w:footer="891" w:gutter="0"/>
          <w:pgNumType w:start="70"/>
          <w:cols w:space="720" w:num="1"/>
        </w:sectPr>
      </w:pPr>
    </w:p>
    <w:p>
      <w:pPr>
        <w:pStyle w:val="10"/>
        <w:numPr>
          <w:ilvl w:val="0"/>
          <w:numId w:val="96"/>
        </w:numPr>
        <w:tabs>
          <w:tab w:val="left" w:pos="1142"/>
        </w:tabs>
        <w:spacing w:before="61" w:after="0" w:line="240" w:lineRule="auto"/>
        <w:ind w:left="1141" w:right="0" w:hanging="602"/>
        <w:jc w:val="left"/>
        <w:rPr>
          <w:sz w:val="24"/>
        </w:rPr>
      </w:pPr>
      <w:r>
        <w:rPr>
          <w:sz w:val="24"/>
        </w:rPr>
        <w:t>承包人未能按期开工；</w:t>
      </w:r>
    </w:p>
    <w:p>
      <w:pPr>
        <w:pStyle w:val="10"/>
        <w:numPr>
          <w:ilvl w:val="0"/>
          <w:numId w:val="96"/>
        </w:numPr>
        <w:tabs>
          <w:tab w:val="left" w:pos="1142"/>
        </w:tabs>
        <w:spacing w:before="160" w:after="0" w:line="362" w:lineRule="auto"/>
        <w:ind w:left="540" w:right="639" w:firstLine="0"/>
        <w:jc w:val="left"/>
        <w:rPr>
          <w:sz w:val="24"/>
        </w:rPr>
      </w:pPr>
      <w:r>
        <w:rPr>
          <w:sz w:val="24"/>
        </w:rPr>
        <w:t>承包人违反第 4.6 款或 6.3</w:t>
      </w:r>
      <w:r>
        <w:rPr>
          <w:spacing w:val="-5"/>
          <w:sz w:val="24"/>
        </w:rPr>
        <w:t xml:space="preserve"> 款的规定，未按承诺或未按监理人的要求及时配备</w:t>
      </w:r>
      <w:r>
        <w:rPr>
          <w:spacing w:val="-4"/>
          <w:sz w:val="24"/>
        </w:rPr>
        <w:t>称职的主要管理人员、技术骨干或关键施工设备；</w:t>
      </w:r>
    </w:p>
    <w:p>
      <w:pPr>
        <w:pStyle w:val="10"/>
        <w:numPr>
          <w:ilvl w:val="0"/>
          <w:numId w:val="96"/>
        </w:numPr>
        <w:tabs>
          <w:tab w:val="left" w:pos="1142"/>
        </w:tabs>
        <w:spacing w:before="5" w:after="0" w:line="240" w:lineRule="auto"/>
        <w:ind w:left="1141" w:right="0" w:hanging="602"/>
        <w:jc w:val="left"/>
        <w:rPr>
          <w:sz w:val="24"/>
        </w:rPr>
      </w:pPr>
      <w:r>
        <w:rPr>
          <w:spacing w:val="-8"/>
          <w:sz w:val="24"/>
        </w:rPr>
        <w:t>经监理人和发包人检查，发现承包人有安全问题或有违反安全管理规章制度的情况；</w:t>
      </w:r>
    </w:p>
    <w:p>
      <w:pPr>
        <w:pStyle w:val="10"/>
        <w:numPr>
          <w:ilvl w:val="0"/>
          <w:numId w:val="96"/>
        </w:numPr>
        <w:tabs>
          <w:tab w:val="left" w:pos="1262"/>
        </w:tabs>
        <w:spacing w:before="158" w:after="0" w:line="240" w:lineRule="auto"/>
        <w:ind w:left="1261" w:right="0" w:hanging="722"/>
        <w:jc w:val="left"/>
        <w:rPr>
          <w:sz w:val="24"/>
        </w:rPr>
      </w:pPr>
      <w:r>
        <w:rPr>
          <w:sz w:val="24"/>
        </w:rPr>
        <w:t>承包人不按合同约定履行义务的其他情况。</w:t>
      </w:r>
    </w:p>
    <w:p>
      <w:pPr>
        <w:pStyle w:val="10"/>
        <w:numPr>
          <w:ilvl w:val="2"/>
          <w:numId w:val="86"/>
        </w:numPr>
        <w:tabs>
          <w:tab w:val="left" w:pos="1321"/>
        </w:tabs>
        <w:spacing w:before="161" w:after="0" w:line="240" w:lineRule="auto"/>
        <w:ind w:left="1320" w:right="0" w:hanging="781"/>
        <w:jc w:val="both"/>
        <w:rPr>
          <w:sz w:val="24"/>
        </w:rPr>
      </w:pPr>
      <w:r>
        <w:rPr>
          <w:sz w:val="24"/>
        </w:rPr>
        <w:t>对承包人违约的处理本项补充：</w:t>
      </w:r>
    </w:p>
    <w:p>
      <w:pPr>
        <w:pStyle w:val="5"/>
        <w:spacing w:before="158" w:line="364" w:lineRule="auto"/>
        <w:ind w:right="639"/>
        <w:jc w:val="both"/>
      </w:pPr>
      <w:r>
        <w:rPr>
          <w:spacing w:val="-7"/>
        </w:rPr>
        <w:t>（4）</w:t>
      </w:r>
      <w:r>
        <w:t>承包人发生第 22.1.1</w:t>
      </w:r>
      <w:r>
        <w:rPr>
          <w:spacing w:val="-4"/>
        </w:rPr>
        <w:t xml:space="preserve"> 项约定的违约情况时，无论发包人是否解除合同，发包人均</w:t>
      </w:r>
      <w:r>
        <w:t>有权向承包人课以项目专用合同条款中规定的违约金，并由发包人将其违约行为上报省级交通主管部门，作为不良记录纳入公路建设市场信用信息管理系统。</w:t>
      </w:r>
    </w:p>
    <w:p>
      <w:pPr>
        <w:pStyle w:val="10"/>
        <w:numPr>
          <w:ilvl w:val="1"/>
          <w:numId w:val="86"/>
        </w:numPr>
        <w:tabs>
          <w:tab w:val="left" w:pos="1081"/>
        </w:tabs>
        <w:spacing w:before="0" w:after="0" w:line="307" w:lineRule="exact"/>
        <w:ind w:left="1080" w:right="0" w:hanging="541"/>
        <w:jc w:val="both"/>
        <w:rPr>
          <w:sz w:val="24"/>
        </w:rPr>
      </w:pPr>
      <w:r>
        <w:rPr>
          <w:sz w:val="24"/>
        </w:rPr>
        <w:t>发包人违约</w:t>
      </w:r>
    </w:p>
    <w:p>
      <w:pPr>
        <w:pStyle w:val="5"/>
        <w:spacing w:before="158"/>
      </w:pPr>
      <w:r>
        <w:t>22.2.4 解除合同后的付款本项（2）目细化为：</w:t>
      </w:r>
    </w:p>
    <w:p>
      <w:pPr>
        <w:pStyle w:val="5"/>
        <w:spacing w:before="160" w:line="364" w:lineRule="auto"/>
        <w:ind w:right="574"/>
      </w:pPr>
      <w:r>
        <w:t>（2）承包人为该工程施工订购并已付款的材料、工程设备和其他物品的金额，发包人付款后，该材料、工程设备和其他物品归发包人所有；</w:t>
      </w:r>
    </w:p>
    <w:p>
      <w:pPr>
        <w:pStyle w:val="10"/>
        <w:numPr>
          <w:ilvl w:val="0"/>
          <w:numId w:val="86"/>
        </w:numPr>
        <w:tabs>
          <w:tab w:val="left" w:pos="902"/>
        </w:tabs>
        <w:spacing w:before="0" w:after="0" w:line="306" w:lineRule="exact"/>
        <w:ind w:left="901" w:right="0" w:hanging="362"/>
        <w:jc w:val="left"/>
        <w:rPr>
          <w:sz w:val="24"/>
        </w:rPr>
      </w:pPr>
      <w:r>
        <w:rPr>
          <w:sz w:val="24"/>
        </w:rPr>
        <w:t>索赔</w:t>
      </w:r>
    </w:p>
    <w:p>
      <w:pPr>
        <w:pStyle w:val="10"/>
        <w:numPr>
          <w:ilvl w:val="1"/>
          <w:numId w:val="86"/>
        </w:numPr>
        <w:tabs>
          <w:tab w:val="left" w:pos="1081"/>
        </w:tabs>
        <w:spacing w:before="161" w:after="0" w:line="362" w:lineRule="auto"/>
        <w:ind w:left="540" w:right="7304" w:firstLine="0"/>
        <w:jc w:val="left"/>
        <w:rPr>
          <w:sz w:val="24"/>
        </w:rPr>
      </w:pPr>
      <w:r>
        <w:rPr>
          <w:sz w:val="24"/>
        </w:rPr>
        <w:t>承包人索赔的提出本款第（4）</w:t>
      </w:r>
      <w:r>
        <w:rPr>
          <w:spacing w:val="-4"/>
          <w:sz w:val="24"/>
        </w:rPr>
        <w:t>项细化为：</w:t>
      </w:r>
    </w:p>
    <w:p>
      <w:pPr>
        <w:pStyle w:val="5"/>
        <w:spacing w:before="5" w:line="362" w:lineRule="auto"/>
        <w:ind w:right="574"/>
      </w:pPr>
      <w:r>
        <w:t>（4）在索赔事件影响结束后的 28 天内，承包人应向监理人递交最终索赔通知书，说明最终要求索赔的追加付款金额和（或）延长的工期，并附必要的记录和证明材料。</w:t>
      </w:r>
    </w:p>
    <w:p>
      <w:pPr>
        <w:pStyle w:val="10"/>
        <w:numPr>
          <w:ilvl w:val="1"/>
          <w:numId w:val="86"/>
        </w:numPr>
        <w:tabs>
          <w:tab w:val="left" w:pos="1081"/>
        </w:tabs>
        <w:spacing w:before="5" w:after="0" w:line="240" w:lineRule="auto"/>
        <w:ind w:left="1080" w:right="0" w:hanging="541"/>
        <w:jc w:val="left"/>
        <w:rPr>
          <w:sz w:val="24"/>
        </w:rPr>
      </w:pPr>
      <w:r>
        <w:rPr>
          <w:sz w:val="24"/>
        </w:rPr>
        <w:t>承包人索赔处理程序 本款第（2）项细化为：</w:t>
      </w:r>
    </w:p>
    <w:p>
      <w:pPr>
        <w:pStyle w:val="5"/>
        <w:spacing w:before="158"/>
        <w:jc w:val="both"/>
      </w:pPr>
      <w:r>
        <w:t>（2）监理人应按第 3.5 款商定或确定追加的付款和（或）延长的工期，并在收到</w:t>
      </w:r>
    </w:p>
    <w:p>
      <w:pPr>
        <w:pStyle w:val="5"/>
        <w:spacing w:before="160" w:line="364" w:lineRule="auto"/>
        <w:ind w:right="584"/>
        <w:jc w:val="both"/>
      </w:pPr>
      <w:r>
        <w:t>上述索赔通知书或有关索赔的进一步证明材料后的 42 天内，将索赔处理结果报发包人批准后答复承包人。如果承包人提出的索赔要求未能遵守第 23.1（2）～（4）项规定， 则承包人只限于索赔由监理人按当时记当予以核实的那部分款额外负担和（或） 工期延长天数。</w:t>
      </w:r>
    </w:p>
    <w:p>
      <w:pPr>
        <w:pStyle w:val="10"/>
        <w:numPr>
          <w:ilvl w:val="0"/>
          <w:numId w:val="86"/>
        </w:numPr>
        <w:tabs>
          <w:tab w:val="left" w:pos="902"/>
        </w:tabs>
        <w:spacing w:before="0" w:after="0" w:line="305" w:lineRule="exact"/>
        <w:ind w:left="901" w:right="0" w:hanging="362"/>
        <w:jc w:val="left"/>
        <w:rPr>
          <w:sz w:val="24"/>
        </w:rPr>
      </w:pPr>
      <w:r>
        <w:rPr>
          <w:sz w:val="24"/>
        </w:rPr>
        <w:t>争议的解决</w:t>
      </w:r>
    </w:p>
    <w:p>
      <w:pPr>
        <w:pStyle w:val="10"/>
        <w:numPr>
          <w:ilvl w:val="1"/>
          <w:numId w:val="97"/>
        </w:numPr>
        <w:tabs>
          <w:tab w:val="left" w:pos="1081"/>
        </w:tabs>
        <w:spacing w:before="158" w:after="0" w:line="240" w:lineRule="auto"/>
        <w:ind w:left="1080" w:right="0" w:hanging="541"/>
        <w:jc w:val="left"/>
        <w:rPr>
          <w:sz w:val="24"/>
        </w:rPr>
      </w:pPr>
      <w:r>
        <w:rPr>
          <w:sz w:val="24"/>
        </w:rPr>
        <w:t>争议评审</w:t>
      </w:r>
    </w:p>
    <w:p>
      <w:pPr>
        <w:pStyle w:val="5"/>
        <w:spacing w:before="161"/>
        <w:jc w:val="both"/>
      </w:pPr>
      <w:r>
        <w:t>第 24.3.1 项补充：</w:t>
      </w:r>
    </w:p>
    <w:p>
      <w:pPr>
        <w:pStyle w:val="5"/>
        <w:spacing w:before="158" w:line="364" w:lineRule="auto"/>
        <w:ind w:right="639"/>
        <w:jc w:val="both"/>
      </w:pPr>
      <w:r>
        <w:t>争议评审组由 3 人或 5 人组成，专家的聘请方法可由发包人和承包人共同协商确定， 亦可请政府主管部门推荐或通过合同争议调解机构聘请，并经双方认同。争议评审组成员应与合同双方均无利害关系，争议评审组的各项费用由发包人和承包人平均分担。</w:t>
      </w:r>
    </w:p>
    <w:p>
      <w:pPr>
        <w:spacing w:after="0" w:line="364" w:lineRule="auto"/>
        <w:jc w:val="both"/>
        <w:sectPr>
          <w:pgSz w:w="11910" w:h="16840"/>
          <w:pgMar w:top="1380" w:right="720" w:bottom="1080" w:left="820" w:header="746" w:footer="891" w:gutter="0"/>
          <w:cols w:space="720" w:num="1"/>
        </w:sectPr>
      </w:pPr>
    </w:p>
    <w:p>
      <w:pPr>
        <w:pStyle w:val="5"/>
        <w:spacing w:before="61"/>
      </w:pPr>
      <w:r>
        <w:t>本条补充第 24.4、第 24.5 款（适用于采用仲裁方式最终解决争议的项目）：</w:t>
      </w:r>
    </w:p>
    <w:p>
      <w:pPr>
        <w:pStyle w:val="10"/>
        <w:numPr>
          <w:ilvl w:val="1"/>
          <w:numId w:val="97"/>
        </w:numPr>
        <w:tabs>
          <w:tab w:val="left" w:pos="1081"/>
        </w:tabs>
        <w:spacing w:before="160" w:after="0" w:line="240" w:lineRule="auto"/>
        <w:ind w:left="1080" w:right="0" w:hanging="541"/>
        <w:jc w:val="both"/>
        <w:rPr>
          <w:sz w:val="24"/>
        </w:rPr>
      </w:pPr>
      <w:r>
        <w:rPr>
          <w:sz w:val="24"/>
        </w:rPr>
        <w:t>仲裁</w:t>
      </w:r>
    </w:p>
    <w:p>
      <w:pPr>
        <w:pStyle w:val="10"/>
        <w:numPr>
          <w:ilvl w:val="0"/>
          <w:numId w:val="98"/>
        </w:numPr>
        <w:tabs>
          <w:tab w:val="left" w:pos="1142"/>
        </w:tabs>
        <w:spacing w:before="158" w:after="0" w:line="364" w:lineRule="auto"/>
        <w:ind w:left="540" w:right="639" w:firstLine="0"/>
        <w:jc w:val="both"/>
        <w:rPr>
          <w:sz w:val="24"/>
        </w:rPr>
      </w:pPr>
      <w:r>
        <w:rPr>
          <w:spacing w:val="-2"/>
          <w:sz w:val="24"/>
        </w:rPr>
        <w:t>对于未能友好解决或通过争议评审解决的争议，发包人或承包人任一方均有权提</w:t>
      </w:r>
      <w:r>
        <w:rPr>
          <w:spacing w:val="-5"/>
          <w:sz w:val="24"/>
        </w:rPr>
        <w:t xml:space="preserve">交给第 </w:t>
      </w:r>
      <w:r>
        <w:rPr>
          <w:sz w:val="24"/>
        </w:rPr>
        <w:t>24.1 款约定的仲裁委员会仲裁。</w:t>
      </w:r>
    </w:p>
    <w:p>
      <w:pPr>
        <w:pStyle w:val="10"/>
        <w:numPr>
          <w:ilvl w:val="0"/>
          <w:numId w:val="98"/>
        </w:numPr>
        <w:tabs>
          <w:tab w:val="left" w:pos="1142"/>
        </w:tabs>
        <w:spacing w:before="0" w:after="0" w:line="364" w:lineRule="auto"/>
        <w:ind w:left="540" w:right="639" w:firstLine="0"/>
        <w:jc w:val="both"/>
        <w:rPr>
          <w:sz w:val="24"/>
        </w:rPr>
      </w:pPr>
      <w:r>
        <w:rPr>
          <w:spacing w:val="-4"/>
          <w:sz w:val="24"/>
        </w:rPr>
        <w:t>仲裁可在交工之前或之后进行，但发包人、监理人和承包人各自的义务不得因在工</w:t>
      </w:r>
      <w:r>
        <w:rPr>
          <w:sz w:val="24"/>
        </w:rPr>
        <w:t>程实施期间进行仲裁而有所改变。如果仲裁是在终止合同的情况下进行，则对合同工程应采取保护措施，措施费由败诉方承担。</w:t>
      </w:r>
    </w:p>
    <w:p>
      <w:pPr>
        <w:pStyle w:val="10"/>
        <w:numPr>
          <w:ilvl w:val="0"/>
          <w:numId w:val="98"/>
        </w:numPr>
        <w:tabs>
          <w:tab w:val="left" w:pos="1142"/>
        </w:tabs>
        <w:spacing w:before="0" w:after="0" w:line="307" w:lineRule="exact"/>
        <w:ind w:left="1141" w:right="0" w:hanging="602"/>
        <w:jc w:val="left"/>
        <w:rPr>
          <w:sz w:val="24"/>
        </w:rPr>
      </w:pPr>
      <w:r>
        <w:rPr>
          <w:sz w:val="24"/>
        </w:rPr>
        <w:t>仲裁裁决是终局性的并对发包人和承包人双方具有约束力。</w:t>
      </w:r>
    </w:p>
    <w:p>
      <w:pPr>
        <w:pStyle w:val="10"/>
        <w:numPr>
          <w:ilvl w:val="0"/>
          <w:numId w:val="98"/>
        </w:numPr>
        <w:tabs>
          <w:tab w:val="left" w:pos="1142"/>
        </w:tabs>
        <w:spacing w:before="159" w:after="0" w:line="240" w:lineRule="auto"/>
        <w:ind w:left="1141" w:right="0" w:hanging="602"/>
        <w:jc w:val="left"/>
        <w:rPr>
          <w:sz w:val="24"/>
        </w:rPr>
      </w:pPr>
      <w:r>
        <w:rPr>
          <w:sz w:val="24"/>
        </w:rPr>
        <w:t>全部仲裁费用应由败诉方承担；或按仲裁员会裁决的比例分担。</w:t>
      </w:r>
    </w:p>
    <w:p>
      <w:pPr>
        <w:pStyle w:val="10"/>
        <w:numPr>
          <w:ilvl w:val="1"/>
          <w:numId w:val="97"/>
        </w:numPr>
        <w:tabs>
          <w:tab w:val="left" w:pos="1081"/>
        </w:tabs>
        <w:spacing w:before="158" w:after="0" w:line="240" w:lineRule="auto"/>
        <w:ind w:left="1080" w:right="0" w:hanging="541"/>
        <w:jc w:val="left"/>
        <w:rPr>
          <w:sz w:val="24"/>
        </w:rPr>
      </w:pPr>
      <w:r>
        <w:rPr>
          <w:sz w:val="24"/>
        </w:rPr>
        <w:t>仲裁的执行</w:t>
      </w:r>
    </w:p>
    <w:p>
      <w:pPr>
        <w:pStyle w:val="10"/>
        <w:numPr>
          <w:ilvl w:val="0"/>
          <w:numId w:val="99"/>
        </w:numPr>
        <w:tabs>
          <w:tab w:val="left" w:pos="1142"/>
        </w:tabs>
        <w:spacing w:before="159" w:after="0" w:line="364" w:lineRule="auto"/>
        <w:ind w:left="540" w:right="1304" w:firstLine="0"/>
        <w:jc w:val="left"/>
        <w:rPr>
          <w:sz w:val="24"/>
        </w:rPr>
      </w:pPr>
      <w:r>
        <w:rPr>
          <w:spacing w:val="-1"/>
          <w:sz w:val="24"/>
        </w:rPr>
        <w:t>任何一方不履行仲裁机构的裁决的，对方可以向有管辖权的人民法院申请执</w:t>
      </w:r>
      <w:r>
        <w:rPr>
          <w:sz w:val="24"/>
        </w:rPr>
        <w:t>行。</w:t>
      </w:r>
    </w:p>
    <w:p>
      <w:pPr>
        <w:pStyle w:val="10"/>
        <w:numPr>
          <w:ilvl w:val="0"/>
          <w:numId w:val="99"/>
        </w:numPr>
        <w:tabs>
          <w:tab w:val="left" w:pos="1142"/>
        </w:tabs>
        <w:spacing w:before="1" w:after="0" w:line="364" w:lineRule="auto"/>
        <w:ind w:left="540" w:right="639" w:firstLine="0"/>
        <w:jc w:val="both"/>
        <w:rPr>
          <w:sz w:val="24"/>
        </w:rPr>
      </w:pPr>
      <w:r>
        <w:rPr>
          <w:spacing w:val="-4"/>
          <w:sz w:val="24"/>
        </w:rPr>
        <w:t>任何一方提出证据证明裁决有《中华人民共和国仲裁法》第五十八条规定情形之一</w:t>
      </w:r>
      <w:r>
        <w:rPr>
          <w:sz w:val="24"/>
        </w:rPr>
        <w:t>的，可以向仲裁委员会所在地的中级人民法院申请撤销裁决。人民法院认定执行该裁决违背社会公共利益的的，裁定不予执行。仲裁裁决被人民法院裁定不予执行的，当事人可以根据双方达成的书面仲裁协议重新申请仲裁，也可以向人民法院起</w:t>
      </w:r>
    </w:p>
    <w:p>
      <w:pPr>
        <w:pStyle w:val="5"/>
        <w:spacing w:line="305" w:lineRule="exact"/>
      </w:pPr>
      <w:r>
        <w:t>诉。</w:t>
      </w: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ind w:left="0"/>
      </w:pPr>
    </w:p>
    <w:p>
      <w:pPr>
        <w:pStyle w:val="5"/>
        <w:spacing w:before="4"/>
        <w:ind w:left="0"/>
        <w:rPr>
          <w:sz w:val="17"/>
        </w:rPr>
      </w:pPr>
    </w:p>
    <w:p>
      <w:pPr>
        <w:pStyle w:val="5"/>
        <w:spacing w:before="1"/>
        <w:ind w:left="258" w:right="360"/>
        <w:jc w:val="center"/>
      </w:pPr>
      <w:r>
        <w:t>B、项目专用合同条款</w:t>
      </w:r>
    </w:p>
    <w:p>
      <w:pPr>
        <w:spacing w:after="0"/>
        <w:jc w:val="center"/>
        <w:sectPr>
          <w:pgSz w:w="11910" w:h="16840"/>
          <w:pgMar w:top="1380" w:right="720" w:bottom="1080" w:left="820" w:header="746" w:footer="891" w:gutter="0"/>
          <w:cols w:space="720" w:num="1"/>
        </w:sectPr>
      </w:pPr>
    </w:p>
    <w:p>
      <w:pPr>
        <w:pStyle w:val="4"/>
        <w:spacing w:before="61"/>
        <w:ind w:left="1020"/>
      </w:pPr>
      <w:r>
        <w:t>说明：</w:t>
      </w:r>
    </w:p>
    <w:p>
      <w:pPr>
        <w:pStyle w:val="10"/>
        <w:numPr>
          <w:ilvl w:val="1"/>
          <w:numId w:val="99"/>
        </w:numPr>
        <w:tabs>
          <w:tab w:val="left" w:pos="1262"/>
        </w:tabs>
        <w:spacing w:before="160" w:after="0" w:line="364" w:lineRule="auto"/>
        <w:ind w:left="540" w:right="519" w:firstLine="480"/>
        <w:jc w:val="left"/>
        <w:rPr>
          <w:sz w:val="24"/>
        </w:rPr>
      </w:pPr>
      <w:r>
        <w:rPr>
          <w:sz w:val="24"/>
        </w:rPr>
        <w:t>招标人在根据《公路工程标准施工招标文件》编制项目招标文件中的“项目专用合同条款”时，可根据招标项目的具体特点和实际需要，对“通用合同条款”及“公路工程专用合同条款”进行补充和细化，除“通用合同条款”明确“专用合同条款”可作</w:t>
      </w:r>
      <w:r>
        <w:rPr>
          <w:spacing w:val="-7"/>
          <w:sz w:val="24"/>
        </w:rPr>
        <w:t xml:space="preserve">出不同约定及“公路工程专用合同条款”明确“项目专用合同条款”可作出不同约定外， </w:t>
      </w:r>
      <w:r>
        <w:rPr>
          <w:sz w:val="24"/>
        </w:rPr>
        <w:t>补充和细化的内容不得与“通用合同条款”及“公路工程专用合同条款”强制性规定相抵触。同时，补充、细化的不同内容，不得违反法律、行政法规的强制性规定和平等、自愿、公平和诚实信用原则。</w:t>
      </w:r>
    </w:p>
    <w:p>
      <w:pPr>
        <w:pStyle w:val="10"/>
        <w:numPr>
          <w:ilvl w:val="1"/>
          <w:numId w:val="99"/>
        </w:numPr>
        <w:tabs>
          <w:tab w:val="left" w:pos="1262"/>
        </w:tabs>
        <w:spacing w:before="0" w:after="0" w:line="305" w:lineRule="exact"/>
        <w:ind w:left="1261" w:right="0" w:hanging="242"/>
        <w:jc w:val="left"/>
        <w:rPr>
          <w:sz w:val="24"/>
        </w:rPr>
      </w:pPr>
      <w:r>
        <w:rPr>
          <w:sz w:val="24"/>
        </w:rPr>
        <w:t>项目专用合同条款的编号应与通用合同条款和公路工程专用合同条款一致。</w:t>
      </w:r>
    </w:p>
    <w:p>
      <w:pPr>
        <w:pStyle w:val="10"/>
        <w:numPr>
          <w:ilvl w:val="1"/>
          <w:numId w:val="99"/>
        </w:numPr>
        <w:tabs>
          <w:tab w:val="left" w:pos="1262"/>
        </w:tabs>
        <w:spacing w:before="158" w:after="0" w:line="240" w:lineRule="auto"/>
        <w:ind w:left="1261" w:right="0" w:hanging="242"/>
        <w:jc w:val="left"/>
        <w:rPr>
          <w:sz w:val="24"/>
        </w:rPr>
      </w:pPr>
      <w:r>
        <w:rPr>
          <w:sz w:val="24"/>
        </w:rPr>
        <w:t>项目专用合同条款可对下列内容进行补充和细化：</w:t>
      </w:r>
    </w:p>
    <w:p>
      <w:pPr>
        <w:pStyle w:val="10"/>
        <w:numPr>
          <w:ilvl w:val="0"/>
          <w:numId w:val="100"/>
        </w:numPr>
        <w:tabs>
          <w:tab w:val="left" w:pos="1622"/>
        </w:tabs>
        <w:spacing w:before="158" w:after="0" w:line="364" w:lineRule="auto"/>
        <w:ind w:left="540" w:right="639" w:firstLine="480"/>
        <w:jc w:val="both"/>
        <w:rPr>
          <w:sz w:val="24"/>
        </w:rPr>
      </w:pPr>
      <w:r>
        <w:rPr>
          <w:spacing w:val="-8"/>
          <w:sz w:val="24"/>
        </w:rPr>
        <w:t>“通用合同条款”中明确指出“专用合同条款”可对“通用合同条款”进行修</w:t>
      </w:r>
      <w:r>
        <w:rPr>
          <w:spacing w:val="-5"/>
          <w:sz w:val="24"/>
        </w:rPr>
        <w:t>改的内容</w:t>
      </w:r>
      <w:r>
        <w:rPr>
          <w:sz w:val="24"/>
        </w:rPr>
        <w:t>（</w:t>
      </w:r>
      <w:r>
        <w:rPr>
          <w:spacing w:val="-13"/>
          <w:sz w:val="24"/>
        </w:rPr>
        <w:t>在“通用合同条款”中用“应按合同约定”、“应按专用合同条款约定”“除</w:t>
      </w:r>
      <w:r>
        <w:rPr>
          <w:sz w:val="24"/>
        </w:rPr>
        <w:t>合同另有约定外”、“除专用合同条款另有约定外”、“在专用合同条款中约定”等多种文字形式表达）；</w:t>
      </w:r>
    </w:p>
    <w:p>
      <w:pPr>
        <w:pStyle w:val="10"/>
        <w:numPr>
          <w:ilvl w:val="0"/>
          <w:numId w:val="100"/>
        </w:numPr>
        <w:tabs>
          <w:tab w:val="left" w:pos="1622"/>
        </w:tabs>
        <w:spacing w:before="0" w:after="0" w:line="364" w:lineRule="auto"/>
        <w:ind w:left="540" w:right="639" w:firstLine="480"/>
        <w:jc w:val="both"/>
        <w:rPr>
          <w:sz w:val="24"/>
        </w:rPr>
      </w:pPr>
      <w:r>
        <w:rPr>
          <w:spacing w:val="-5"/>
          <w:sz w:val="24"/>
        </w:rPr>
        <w:t>“公路工程专用合同条款”中明确指出“项目专用合同条款”可对“公路工程</w:t>
      </w:r>
      <w:r>
        <w:rPr>
          <w:sz w:val="24"/>
        </w:rPr>
        <w:t>专用合同条款”进行修改的内容（在“公路工程专用合同条款”中用“除项目专用合同条款里有约定外”。“项目专用合同条款可能约定的”，“项目专用合同条款约定的其他情形”等多种文字形式表达）；</w:t>
      </w:r>
    </w:p>
    <w:p>
      <w:pPr>
        <w:pStyle w:val="10"/>
        <w:numPr>
          <w:ilvl w:val="0"/>
          <w:numId w:val="100"/>
        </w:numPr>
        <w:tabs>
          <w:tab w:val="left" w:pos="1622"/>
        </w:tabs>
        <w:spacing w:before="0" w:after="0" w:line="305" w:lineRule="exact"/>
        <w:ind w:left="1621" w:right="0" w:hanging="602"/>
        <w:jc w:val="left"/>
        <w:rPr>
          <w:sz w:val="24"/>
        </w:rPr>
      </w:pPr>
      <w:r>
        <w:rPr>
          <w:sz w:val="24"/>
        </w:rPr>
        <w:t>其他需要补充、细化的内容。</w:t>
      </w:r>
    </w:p>
    <w:p>
      <w:pPr>
        <w:spacing w:after="0" w:line="305" w:lineRule="exact"/>
        <w:jc w:val="left"/>
        <w:rPr>
          <w:sz w:val="24"/>
        </w:rPr>
        <w:sectPr>
          <w:pgSz w:w="11910" w:h="16840"/>
          <w:pgMar w:top="1380" w:right="720" w:bottom="1080" w:left="820" w:header="746" w:footer="891" w:gutter="0"/>
          <w:cols w:space="720" w:num="1"/>
        </w:sectPr>
      </w:pPr>
    </w:p>
    <w:p>
      <w:pPr>
        <w:pStyle w:val="5"/>
        <w:spacing w:before="3"/>
        <w:ind w:left="0"/>
        <w:rPr>
          <w:sz w:val="18"/>
        </w:rPr>
      </w:pPr>
    </w:p>
    <w:p>
      <w:pPr>
        <w:pStyle w:val="4"/>
        <w:spacing w:before="67"/>
        <w:ind w:left="262" w:right="360"/>
        <w:jc w:val="center"/>
      </w:pPr>
      <w:r>
        <w:t>项目专用条款数据表</w:t>
      </w:r>
    </w:p>
    <w:p>
      <w:pPr>
        <w:pStyle w:val="5"/>
        <w:spacing w:before="3"/>
        <w:ind w:left="0"/>
        <w:rPr>
          <w:b/>
          <w:sz w:val="31"/>
        </w:rPr>
      </w:pPr>
    </w:p>
    <w:p>
      <w:pPr>
        <w:pStyle w:val="5"/>
        <w:spacing w:line="364" w:lineRule="auto"/>
        <w:ind w:right="637"/>
        <w:jc w:val="both"/>
      </w:pPr>
      <w:r>
        <w:t>说明：本数据表是项目专用合同条款中适用于本项目的信息和数据的归纳与提示，是项目专用合同条款的组成部分。第九章“投标文件格式”的投标函附录中的数据（供投标人确认）与本表所列有重复。编写招标文件的单位应仔细校核，不使数据出现差错或不一致。</w:t>
      </w: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9"/>
        <w:gridCol w:w="1484"/>
        <w:gridCol w:w="742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bottom w:val="single" w:color="000000" w:sz="6" w:space="0"/>
              <w:right w:val="single" w:color="000000" w:sz="6" w:space="0"/>
            </w:tcBorders>
          </w:tcPr>
          <w:p>
            <w:pPr>
              <w:pStyle w:val="11"/>
              <w:spacing w:before="98"/>
              <w:ind w:left="101" w:right="82"/>
              <w:jc w:val="center"/>
              <w:rPr>
                <w:b/>
                <w:sz w:val="24"/>
              </w:rPr>
            </w:pPr>
            <w:r>
              <w:rPr>
                <w:b/>
                <w:sz w:val="24"/>
              </w:rPr>
              <w:t>序号</w:t>
            </w:r>
          </w:p>
        </w:tc>
        <w:tc>
          <w:tcPr>
            <w:tcW w:w="1484" w:type="dxa"/>
            <w:tcBorders>
              <w:left w:val="single" w:color="000000" w:sz="6" w:space="0"/>
              <w:bottom w:val="single" w:color="000000" w:sz="6" w:space="0"/>
              <w:right w:val="single" w:color="000000" w:sz="6" w:space="0"/>
            </w:tcBorders>
          </w:tcPr>
          <w:p>
            <w:pPr>
              <w:pStyle w:val="11"/>
              <w:spacing w:before="98"/>
              <w:ind w:left="44" w:right="15"/>
              <w:jc w:val="center"/>
              <w:rPr>
                <w:b/>
                <w:sz w:val="24"/>
              </w:rPr>
            </w:pPr>
            <w:r>
              <w:rPr>
                <w:b/>
                <w:sz w:val="24"/>
              </w:rPr>
              <w:t>条目号</w:t>
            </w:r>
          </w:p>
        </w:tc>
        <w:tc>
          <w:tcPr>
            <w:tcW w:w="7426" w:type="dxa"/>
            <w:tcBorders>
              <w:left w:val="single" w:color="000000" w:sz="6" w:space="0"/>
              <w:bottom w:val="single" w:color="000000" w:sz="6" w:space="0"/>
            </w:tcBorders>
          </w:tcPr>
          <w:p>
            <w:pPr>
              <w:pStyle w:val="11"/>
              <w:spacing w:before="98"/>
              <w:ind w:left="3095" w:right="3062"/>
              <w:jc w:val="center"/>
              <w:rPr>
                <w:b/>
                <w:sz w:val="24"/>
              </w:rPr>
            </w:pPr>
            <w:r>
              <w:rPr>
                <w:b/>
                <w:sz w:val="24"/>
              </w:rPr>
              <w:t>信息或数据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spacing w:before="12"/>
              <w:rPr>
                <w:sz w:val="23"/>
              </w:rPr>
            </w:pPr>
          </w:p>
          <w:p>
            <w:pPr>
              <w:pStyle w:val="11"/>
              <w:ind w:left="19"/>
              <w:jc w:val="center"/>
              <w:rPr>
                <w:sz w:val="24"/>
              </w:rPr>
            </w:pPr>
            <w:r>
              <w:rPr>
                <w:sz w:val="24"/>
              </w:rPr>
              <w:t>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2"/>
              <w:rPr>
                <w:sz w:val="23"/>
              </w:rPr>
            </w:pPr>
          </w:p>
          <w:p>
            <w:pPr>
              <w:pStyle w:val="11"/>
              <w:ind w:left="41" w:right="15"/>
              <w:jc w:val="center"/>
              <w:rPr>
                <w:sz w:val="24"/>
              </w:rPr>
            </w:pPr>
            <w:r>
              <w:rPr>
                <w:sz w:val="24"/>
              </w:rPr>
              <w:t>1.1.2.2</w:t>
            </w:r>
          </w:p>
        </w:tc>
        <w:tc>
          <w:tcPr>
            <w:tcW w:w="7426" w:type="dxa"/>
            <w:tcBorders>
              <w:top w:val="single" w:color="000000" w:sz="6" w:space="0"/>
              <w:left w:val="single" w:color="000000" w:sz="6" w:space="0"/>
              <w:bottom w:val="single" w:color="000000" w:sz="6" w:space="0"/>
            </w:tcBorders>
          </w:tcPr>
          <w:p>
            <w:pPr>
              <w:pStyle w:val="11"/>
              <w:spacing w:line="305" w:lineRule="exact"/>
              <w:ind w:left="115"/>
              <w:rPr>
                <w:b/>
                <w:sz w:val="24"/>
              </w:rPr>
            </w:pPr>
            <w:r>
              <w:rPr>
                <w:b/>
                <w:sz w:val="24"/>
              </w:rPr>
              <w:t>发包人: 商城县交通运输局</w:t>
            </w:r>
          </w:p>
          <w:p>
            <w:pPr>
              <w:pStyle w:val="11"/>
              <w:tabs>
                <w:tab w:val="left" w:pos="595"/>
              </w:tabs>
              <w:spacing w:before="2" w:line="310" w:lineRule="atLeast"/>
              <w:ind w:left="115" w:right="2828"/>
              <w:rPr>
                <w:sz w:val="24"/>
              </w:rPr>
            </w:pPr>
            <w:r>
              <w:rPr>
                <w:b/>
                <w:sz w:val="24"/>
              </w:rPr>
              <w:t>地</w:t>
            </w:r>
            <w:r>
              <w:rPr>
                <w:b/>
                <w:sz w:val="24"/>
              </w:rPr>
              <w:tab/>
            </w:r>
            <w:r>
              <w:rPr>
                <w:b/>
                <w:sz w:val="24"/>
              </w:rPr>
              <w:t>址:</w:t>
            </w:r>
            <w:r>
              <w:rPr>
                <w:b/>
                <w:spacing w:val="-2"/>
                <w:sz w:val="24"/>
              </w:rPr>
              <w:t xml:space="preserve"> </w:t>
            </w:r>
            <w:r>
              <w:rPr>
                <w:b/>
                <w:sz w:val="24"/>
              </w:rPr>
              <w:t>商城县赤城办事处滨河北路</w:t>
            </w:r>
            <w:r>
              <w:rPr>
                <w:b/>
                <w:spacing w:val="-60"/>
                <w:sz w:val="24"/>
              </w:rPr>
              <w:t xml:space="preserve"> </w:t>
            </w:r>
            <w:r>
              <w:rPr>
                <w:b/>
                <w:sz w:val="24"/>
              </w:rPr>
              <w:t>21</w:t>
            </w:r>
            <w:r>
              <w:rPr>
                <w:b/>
                <w:spacing w:val="-62"/>
                <w:sz w:val="24"/>
              </w:rPr>
              <w:t xml:space="preserve"> </w:t>
            </w:r>
            <w:r>
              <w:rPr>
                <w:b/>
                <w:spacing w:val="-14"/>
                <w:sz w:val="24"/>
              </w:rPr>
              <w:t>号</w:t>
            </w:r>
            <w:r>
              <w:rPr>
                <w:sz w:val="24"/>
              </w:rPr>
              <w:t>邮编：465350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29" w:type="dxa"/>
            <w:tcBorders>
              <w:top w:val="single" w:color="000000" w:sz="6" w:space="0"/>
              <w:bottom w:val="single" w:color="000000" w:sz="6" w:space="0"/>
              <w:right w:val="single" w:color="000000" w:sz="6" w:space="0"/>
            </w:tcBorders>
          </w:tcPr>
          <w:p>
            <w:pPr>
              <w:pStyle w:val="11"/>
              <w:spacing w:before="152"/>
              <w:ind w:left="19"/>
              <w:jc w:val="center"/>
              <w:rPr>
                <w:sz w:val="24"/>
              </w:rPr>
            </w:pPr>
            <w:r>
              <w:rPr>
                <w:sz w:val="24"/>
              </w:rPr>
              <w:t>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2"/>
              <w:ind w:left="41" w:right="15"/>
              <w:jc w:val="center"/>
              <w:rPr>
                <w:sz w:val="24"/>
              </w:rPr>
            </w:pPr>
            <w:r>
              <w:rPr>
                <w:sz w:val="24"/>
              </w:rPr>
              <w:t>1.1.2.6</w:t>
            </w:r>
          </w:p>
        </w:tc>
        <w:tc>
          <w:tcPr>
            <w:tcW w:w="7426" w:type="dxa"/>
            <w:tcBorders>
              <w:top w:val="single" w:color="000000" w:sz="6" w:space="0"/>
              <w:left w:val="single" w:color="000000" w:sz="6" w:space="0"/>
              <w:bottom w:val="single" w:color="000000" w:sz="6" w:space="0"/>
            </w:tcBorders>
          </w:tcPr>
          <w:p>
            <w:pPr>
              <w:pStyle w:val="11"/>
              <w:spacing w:line="307" w:lineRule="exact"/>
              <w:ind w:left="115"/>
              <w:rPr>
                <w:sz w:val="24"/>
              </w:rPr>
            </w:pPr>
            <w:r>
              <w:rPr>
                <w:sz w:val="24"/>
              </w:rPr>
              <w:t>监理人：招标确定</w:t>
            </w:r>
          </w:p>
          <w:p>
            <w:pPr>
              <w:pStyle w:val="11"/>
              <w:tabs>
                <w:tab w:val="left" w:pos="595"/>
                <w:tab w:val="left" w:pos="3355"/>
              </w:tabs>
              <w:spacing w:before="2" w:line="294" w:lineRule="exact"/>
              <w:ind w:left="115"/>
              <w:rPr>
                <w:sz w:val="24"/>
              </w:rPr>
            </w:pPr>
            <w:r>
              <w:rPr>
                <w:sz w:val="24"/>
              </w:rPr>
              <w:t>地</w:t>
            </w:r>
            <w:r>
              <w:rPr>
                <w:sz w:val="24"/>
              </w:rPr>
              <w:tab/>
            </w:r>
            <w:r>
              <w:rPr>
                <w:sz w:val="24"/>
              </w:rPr>
              <w:t>址：（待定）</w:t>
            </w:r>
            <w:r>
              <w:rPr>
                <w:sz w:val="24"/>
              </w:rPr>
              <w:tab/>
            </w:r>
            <w:r>
              <w:rPr>
                <w:sz w:val="24"/>
              </w:rPr>
              <w:t>邮编：（待定）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9" w:hRule="atLeast"/>
        </w:trPr>
        <w:tc>
          <w:tcPr>
            <w:tcW w:w="729" w:type="dxa"/>
            <w:tcBorders>
              <w:top w:val="single" w:color="000000" w:sz="6" w:space="0"/>
              <w:bottom w:val="single" w:color="000000" w:sz="6" w:space="0"/>
              <w:right w:val="single" w:color="000000" w:sz="6" w:space="0"/>
            </w:tcBorders>
          </w:tcPr>
          <w:p>
            <w:pPr>
              <w:pStyle w:val="11"/>
              <w:spacing w:before="95"/>
              <w:ind w:left="19"/>
              <w:jc w:val="center"/>
              <w:rPr>
                <w:sz w:val="24"/>
              </w:rPr>
            </w:pPr>
            <w:r>
              <w:rPr>
                <w:sz w:val="24"/>
              </w:rPr>
              <w:t>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5"/>
              <w:ind w:left="41" w:right="15"/>
              <w:jc w:val="center"/>
              <w:rPr>
                <w:sz w:val="24"/>
              </w:rPr>
            </w:pPr>
            <w:r>
              <w:rPr>
                <w:sz w:val="24"/>
              </w:rPr>
              <w:t>1.1.4.5</w:t>
            </w:r>
          </w:p>
        </w:tc>
        <w:tc>
          <w:tcPr>
            <w:tcW w:w="7426" w:type="dxa"/>
            <w:tcBorders>
              <w:top w:val="single" w:color="000000" w:sz="6" w:space="0"/>
              <w:left w:val="single" w:color="000000" w:sz="6" w:space="0"/>
              <w:bottom w:val="single" w:color="000000" w:sz="6" w:space="0"/>
            </w:tcBorders>
          </w:tcPr>
          <w:p>
            <w:pPr>
              <w:pStyle w:val="11"/>
              <w:spacing w:before="95"/>
              <w:ind w:left="115"/>
              <w:rPr>
                <w:sz w:val="24"/>
              </w:rPr>
            </w:pPr>
            <w:r>
              <w:rPr>
                <w:sz w:val="24"/>
              </w:rPr>
              <w:t xml:space="preserve">缺陷责任期：自实际交工日期起计算 </w:t>
            </w:r>
            <w:r>
              <w:rPr>
                <w:b/>
                <w:sz w:val="24"/>
                <w:u w:val="single"/>
              </w:rPr>
              <w:t xml:space="preserve">2 </w:t>
            </w:r>
            <w:r>
              <w:rPr>
                <w:sz w:val="24"/>
              </w:rPr>
              <w:t>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1"/>
              <w:ind w:left="19"/>
              <w:jc w:val="center"/>
              <w:rPr>
                <w:sz w:val="24"/>
              </w:rPr>
            </w:pPr>
            <w:r>
              <w:rPr>
                <w:sz w:val="24"/>
              </w:rPr>
              <w:t>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1"/>
              <w:ind w:left="41" w:right="15"/>
              <w:jc w:val="center"/>
              <w:rPr>
                <w:sz w:val="24"/>
              </w:rPr>
            </w:pPr>
            <w:r>
              <w:rPr>
                <w:sz w:val="24"/>
              </w:rPr>
              <w:t>1.6.3</w:t>
            </w:r>
          </w:p>
        </w:tc>
        <w:tc>
          <w:tcPr>
            <w:tcW w:w="7426" w:type="dxa"/>
            <w:tcBorders>
              <w:top w:val="single" w:color="000000" w:sz="6" w:space="0"/>
              <w:left w:val="single" w:color="000000" w:sz="6" w:space="0"/>
              <w:bottom w:val="single" w:color="000000" w:sz="6" w:space="0"/>
            </w:tcBorders>
          </w:tcPr>
          <w:p>
            <w:pPr>
              <w:pStyle w:val="11"/>
              <w:spacing w:line="305" w:lineRule="exact"/>
              <w:ind w:left="115"/>
              <w:rPr>
                <w:sz w:val="24"/>
              </w:rPr>
            </w:pPr>
            <w:r>
              <w:rPr>
                <w:sz w:val="24"/>
              </w:rPr>
              <w:t>图纸需要修改和补充的，应由监理人取得发包人同意后，在该项工程</w:t>
            </w:r>
          </w:p>
          <w:p>
            <w:pPr>
              <w:pStyle w:val="11"/>
              <w:spacing w:before="2" w:line="295" w:lineRule="exact"/>
              <w:ind w:left="115"/>
              <w:rPr>
                <w:sz w:val="24"/>
              </w:rPr>
            </w:pPr>
            <w:r>
              <w:rPr>
                <w:sz w:val="24"/>
              </w:rPr>
              <w:t>或工程相应部位施工前</w:t>
            </w:r>
            <w:r>
              <w:rPr>
                <w:sz w:val="24"/>
                <w:u w:val="single"/>
              </w:rPr>
              <w:t xml:space="preserve"> </w:t>
            </w:r>
            <w:r>
              <w:rPr>
                <w:b/>
                <w:sz w:val="24"/>
                <w:u w:val="single"/>
              </w:rPr>
              <w:t xml:space="preserve">3 </w:t>
            </w:r>
            <w:r>
              <w:rPr>
                <w:sz w:val="24"/>
              </w:rPr>
              <w:t>天签发图纸修改图给承包人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729" w:type="dxa"/>
            <w:tcBorders>
              <w:top w:val="single" w:color="000000" w:sz="6" w:space="0"/>
              <w:bottom w:val="single" w:color="000000" w:sz="6" w:space="0"/>
              <w:right w:val="single" w:color="000000" w:sz="6" w:space="0"/>
            </w:tcBorders>
          </w:tcPr>
          <w:p>
            <w:pPr>
              <w:pStyle w:val="11"/>
              <w:rPr>
                <w:sz w:val="24"/>
              </w:rPr>
            </w:pPr>
          </w:p>
          <w:p>
            <w:pPr>
              <w:pStyle w:val="11"/>
              <w:spacing w:before="157"/>
              <w:ind w:left="19"/>
              <w:jc w:val="center"/>
              <w:rPr>
                <w:sz w:val="24"/>
              </w:rPr>
            </w:pPr>
            <w:r>
              <w:rPr>
                <w:sz w:val="24"/>
              </w:rPr>
              <w:t>5</w:t>
            </w:r>
          </w:p>
        </w:tc>
        <w:tc>
          <w:tcPr>
            <w:tcW w:w="1484" w:type="dxa"/>
            <w:tcBorders>
              <w:top w:val="single" w:color="000000" w:sz="6" w:space="0"/>
              <w:left w:val="single" w:color="000000" w:sz="6" w:space="0"/>
              <w:bottom w:val="single" w:color="000000" w:sz="6" w:space="0"/>
              <w:right w:val="single" w:color="000000" w:sz="6" w:space="0"/>
            </w:tcBorders>
          </w:tcPr>
          <w:p>
            <w:pPr>
              <w:pStyle w:val="11"/>
              <w:rPr>
                <w:sz w:val="24"/>
              </w:rPr>
            </w:pPr>
          </w:p>
          <w:p>
            <w:pPr>
              <w:pStyle w:val="11"/>
              <w:spacing w:before="157"/>
              <w:ind w:left="41" w:right="15"/>
              <w:jc w:val="center"/>
              <w:rPr>
                <w:sz w:val="24"/>
              </w:rPr>
            </w:pPr>
            <w:r>
              <w:rPr>
                <w:sz w:val="24"/>
              </w:rPr>
              <w:t>3.1.1</w:t>
            </w:r>
          </w:p>
        </w:tc>
        <w:tc>
          <w:tcPr>
            <w:tcW w:w="7426" w:type="dxa"/>
            <w:tcBorders>
              <w:top w:val="single" w:color="000000" w:sz="6" w:space="0"/>
              <w:left w:val="single" w:color="000000" w:sz="6" w:space="0"/>
              <w:bottom w:val="single" w:color="000000" w:sz="6" w:space="0"/>
            </w:tcBorders>
          </w:tcPr>
          <w:p>
            <w:pPr>
              <w:pStyle w:val="11"/>
              <w:spacing w:line="307" w:lineRule="exact"/>
              <w:ind w:left="115"/>
              <w:rPr>
                <w:sz w:val="24"/>
              </w:rPr>
            </w:pPr>
            <w:r>
              <w:rPr>
                <w:sz w:val="24"/>
              </w:rPr>
              <w:t>监理人在行使下列权力前需要经发包人事先批准 ：</w:t>
            </w:r>
          </w:p>
          <w:p>
            <w:pPr>
              <w:pStyle w:val="11"/>
              <w:spacing w:before="2"/>
              <w:ind w:left="115"/>
              <w:rPr>
                <w:sz w:val="24"/>
              </w:rPr>
            </w:pPr>
            <w:r>
              <w:rPr>
                <w:sz w:val="24"/>
              </w:rPr>
              <w:t>(6）根据第 15.3 款发出的变更指示，其单项工程变更涉及的金额超</w:t>
            </w:r>
          </w:p>
          <w:p>
            <w:pPr>
              <w:pStyle w:val="11"/>
              <w:tabs>
                <w:tab w:val="left" w:pos="595"/>
              </w:tabs>
              <w:spacing w:before="2" w:line="310" w:lineRule="atLeast"/>
              <w:ind w:left="115" w:right="78"/>
              <w:rPr>
                <w:sz w:val="24"/>
              </w:rPr>
            </w:pPr>
            <w:r>
              <w:rPr>
                <w:spacing w:val="7"/>
                <w:sz w:val="24"/>
              </w:rPr>
              <w:t>过了</w:t>
            </w:r>
            <w:r>
              <w:rPr>
                <w:spacing w:val="4"/>
                <w:sz w:val="24"/>
              </w:rPr>
              <w:t>该</w:t>
            </w:r>
            <w:r>
              <w:rPr>
                <w:spacing w:val="7"/>
                <w:sz w:val="24"/>
              </w:rPr>
              <w:t>单项工程</w:t>
            </w:r>
            <w:r>
              <w:rPr>
                <w:spacing w:val="4"/>
                <w:sz w:val="24"/>
              </w:rPr>
              <w:t>签</w:t>
            </w:r>
            <w:r>
              <w:rPr>
                <w:spacing w:val="7"/>
                <w:sz w:val="24"/>
              </w:rPr>
              <w:t>约时合同价</w:t>
            </w:r>
            <w:r>
              <w:rPr>
                <w:sz w:val="24"/>
              </w:rPr>
              <w:t>的</w:t>
            </w:r>
            <w:r>
              <w:rPr>
                <w:spacing w:val="-56"/>
                <w:sz w:val="24"/>
              </w:rPr>
              <w:t xml:space="preserve"> </w:t>
            </w:r>
            <w:r>
              <w:rPr>
                <w:b/>
                <w:spacing w:val="3"/>
                <w:sz w:val="24"/>
                <w:u w:val="single"/>
              </w:rPr>
              <w:t>1</w:t>
            </w:r>
            <w:r>
              <w:rPr>
                <w:spacing w:val="3"/>
                <w:sz w:val="24"/>
              </w:rPr>
              <w:t>%</w:t>
            </w:r>
            <w:r>
              <w:rPr>
                <w:spacing w:val="7"/>
                <w:sz w:val="24"/>
              </w:rPr>
              <w:t>或累</w:t>
            </w:r>
            <w:r>
              <w:rPr>
                <w:spacing w:val="4"/>
                <w:sz w:val="24"/>
              </w:rPr>
              <w:t>计</w:t>
            </w:r>
            <w:r>
              <w:rPr>
                <w:spacing w:val="7"/>
                <w:sz w:val="24"/>
              </w:rPr>
              <w:t>变更超过</w:t>
            </w:r>
            <w:r>
              <w:rPr>
                <w:spacing w:val="4"/>
                <w:sz w:val="24"/>
              </w:rPr>
              <w:t>了</w:t>
            </w:r>
            <w:r>
              <w:rPr>
                <w:spacing w:val="7"/>
                <w:sz w:val="24"/>
              </w:rPr>
              <w:t>签约合同</w:t>
            </w:r>
            <w:r>
              <w:rPr>
                <w:spacing w:val="4"/>
                <w:sz w:val="24"/>
              </w:rPr>
              <w:t>价</w:t>
            </w:r>
            <w:r>
              <w:rPr>
                <w:sz w:val="24"/>
              </w:rPr>
              <w:t>的</w:t>
            </w:r>
            <w:r>
              <w:rPr>
                <w:b/>
                <w:sz w:val="24"/>
                <w:u w:val="single"/>
              </w:rPr>
              <w:t>10</w:t>
            </w:r>
            <w:r>
              <w:rPr>
                <w:b/>
                <w:sz w:val="24"/>
                <w:u w:val="single"/>
              </w:rPr>
              <w:tab/>
            </w:r>
            <w:r>
              <w:rPr>
                <w:sz w:val="24"/>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29" w:type="dxa"/>
            <w:tcBorders>
              <w:top w:val="single" w:color="000000" w:sz="6" w:space="0"/>
              <w:bottom w:val="single" w:color="000000" w:sz="6" w:space="0"/>
              <w:right w:val="single" w:color="000000" w:sz="6" w:space="0"/>
            </w:tcBorders>
          </w:tcPr>
          <w:p>
            <w:pPr>
              <w:pStyle w:val="11"/>
              <w:spacing w:before="152"/>
              <w:ind w:left="19"/>
              <w:jc w:val="center"/>
              <w:rPr>
                <w:sz w:val="24"/>
              </w:rPr>
            </w:pPr>
            <w:r>
              <w:rPr>
                <w:sz w:val="24"/>
              </w:rPr>
              <w:t>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2"/>
              <w:ind w:left="41" w:right="15"/>
              <w:jc w:val="center"/>
              <w:rPr>
                <w:sz w:val="24"/>
              </w:rPr>
            </w:pPr>
            <w:r>
              <w:rPr>
                <w:sz w:val="24"/>
              </w:rPr>
              <w:t>5.2.1</w:t>
            </w:r>
          </w:p>
        </w:tc>
        <w:tc>
          <w:tcPr>
            <w:tcW w:w="7426" w:type="dxa"/>
            <w:tcBorders>
              <w:top w:val="single" w:color="000000" w:sz="6" w:space="0"/>
              <w:left w:val="single" w:color="000000" w:sz="6" w:space="0"/>
              <w:bottom w:val="single" w:color="000000" w:sz="6" w:space="0"/>
            </w:tcBorders>
          </w:tcPr>
          <w:p>
            <w:pPr>
              <w:pStyle w:val="11"/>
              <w:spacing w:line="307" w:lineRule="exact"/>
              <w:ind w:left="115"/>
              <w:rPr>
                <w:b/>
                <w:sz w:val="24"/>
              </w:rPr>
            </w:pPr>
            <w:r>
              <w:rPr>
                <w:sz w:val="24"/>
              </w:rPr>
              <w:t>发包人是否提供材料或工程设备：</w:t>
            </w:r>
            <w:r>
              <w:rPr>
                <w:b/>
                <w:sz w:val="24"/>
                <w:u w:val="single"/>
              </w:rPr>
              <w:t>否</w:t>
            </w:r>
          </w:p>
          <w:p>
            <w:pPr>
              <w:pStyle w:val="11"/>
              <w:spacing w:before="2" w:line="294" w:lineRule="exact"/>
              <w:ind w:left="115"/>
              <w:rPr>
                <w:b/>
                <w:sz w:val="24"/>
              </w:rPr>
            </w:pPr>
            <w:r>
              <w:rPr>
                <w:sz w:val="24"/>
              </w:rPr>
              <w:t>如发包人负责提供部分材料或工程设备，相关规定如下：</w:t>
            </w:r>
            <w:r>
              <w:rPr>
                <w:sz w:val="24"/>
                <w:u w:val="single"/>
              </w:rPr>
              <w:t xml:space="preserve"> </w:t>
            </w:r>
            <w:r>
              <w:rPr>
                <w:b/>
                <w:sz w:val="24"/>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3"/>
              <w:ind w:left="19"/>
              <w:jc w:val="center"/>
              <w:rPr>
                <w:sz w:val="24"/>
              </w:rPr>
            </w:pPr>
            <w:r>
              <w:rPr>
                <w:sz w:val="24"/>
              </w:rPr>
              <w:t>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3"/>
              <w:ind w:left="41" w:right="15"/>
              <w:jc w:val="center"/>
              <w:rPr>
                <w:sz w:val="24"/>
              </w:rPr>
            </w:pPr>
            <w:r>
              <w:rPr>
                <w:sz w:val="24"/>
              </w:rPr>
              <w:t>6.2</w:t>
            </w:r>
          </w:p>
        </w:tc>
        <w:tc>
          <w:tcPr>
            <w:tcW w:w="7426" w:type="dxa"/>
            <w:tcBorders>
              <w:top w:val="single" w:color="000000" w:sz="6" w:space="0"/>
              <w:left w:val="single" w:color="000000" w:sz="6" w:space="0"/>
              <w:bottom w:val="single" w:color="000000" w:sz="6" w:space="0"/>
            </w:tcBorders>
          </w:tcPr>
          <w:p>
            <w:pPr>
              <w:pStyle w:val="11"/>
              <w:spacing w:line="305" w:lineRule="exact"/>
              <w:ind w:left="115"/>
              <w:rPr>
                <w:b/>
                <w:sz w:val="24"/>
              </w:rPr>
            </w:pPr>
            <w:r>
              <w:rPr>
                <w:sz w:val="24"/>
              </w:rPr>
              <w:t>发包人是否提供施工设备和临时设施：</w:t>
            </w:r>
            <w:r>
              <w:rPr>
                <w:b/>
                <w:sz w:val="24"/>
              </w:rPr>
              <w:t>否</w:t>
            </w:r>
          </w:p>
          <w:p>
            <w:pPr>
              <w:pStyle w:val="11"/>
              <w:spacing w:before="4" w:line="293" w:lineRule="exact"/>
              <w:ind w:left="115"/>
              <w:rPr>
                <w:sz w:val="24"/>
              </w:rPr>
            </w:pPr>
            <w:r>
              <w:rPr>
                <w:sz w:val="24"/>
              </w:rPr>
              <w:t xml:space="preserve">如发包人负责提供部分施工设备和临时设施，相关规定如下： </w:t>
            </w:r>
            <w:r>
              <w:rPr>
                <w:sz w:val="24"/>
                <w:u w:val="single"/>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rPr>
                <w:sz w:val="24"/>
              </w:rPr>
            </w:pPr>
          </w:p>
          <w:p>
            <w:pPr>
              <w:pStyle w:val="11"/>
              <w:ind w:left="19"/>
              <w:jc w:val="center"/>
              <w:rPr>
                <w:sz w:val="24"/>
              </w:rPr>
            </w:pPr>
            <w:r>
              <w:rPr>
                <w:sz w:val="24"/>
              </w:rPr>
              <w:t>8</w:t>
            </w:r>
          </w:p>
        </w:tc>
        <w:tc>
          <w:tcPr>
            <w:tcW w:w="1484" w:type="dxa"/>
            <w:tcBorders>
              <w:top w:val="single" w:color="000000" w:sz="6" w:space="0"/>
              <w:left w:val="single" w:color="000000" w:sz="6" w:space="0"/>
              <w:bottom w:val="single" w:color="000000" w:sz="6" w:space="0"/>
              <w:right w:val="single" w:color="000000" w:sz="6" w:space="0"/>
            </w:tcBorders>
          </w:tcPr>
          <w:p>
            <w:pPr>
              <w:pStyle w:val="11"/>
              <w:rPr>
                <w:sz w:val="24"/>
              </w:rPr>
            </w:pPr>
          </w:p>
          <w:p>
            <w:pPr>
              <w:pStyle w:val="11"/>
              <w:ind w:left="41" w:right="15"/>
              <w:jc w:val="center"/>
              <w:rPr>
                <w:sz w:val="24"/>
              </w:rPr>
            </w:pPr>
            <w:r>
              <w:rPr>
                <w:sz w:val="24"/>
              </w:rPr>
              <w:t>8.1.1</w:t>
            </w:r>
          </w:p>
        </w:tc>
        <w:tc>
          <w:tcPr>
            <w:tcW w:w="7426" w:type="dxa"/>
            <w:tcBorders>
              <w:top w:val="single" w:color="000000" w:sz="6" w:space="0"/>
              <w:left w:val="single" w:color="000000" w:sz="6" w:space="0"/>
              <w:bottom w:val="single" w:color="000000" w:sz="6" w:space="0"/>
            </w:tcBorders>
          </w:tcPr>
          <w:p>
            <w:pPr>
              <w:pStyle w:val="11"/>
              <w:spacing w:line="242" w:lineRule="auto"/>
              <w:ind w:left="115" w:right="78"/>
              <w:rPr>
                <w:b/>
                <w:sz w:val="24"/>
              </w:rPr>
            </w:pPr>
            <w:r>
              <w:rPr>
                <w:spacing w:val="-8"/>
                <w:sz w:val="24"/>
              </w:rPr>
              <w:t xml:space="preserve">发包人提供测量基准点、基准先和水准点及其书面资料的期限： </w:t>
            </w:r>
            <w:r>
              <w:rPr>
                <w:b/>
                <w:spacing w:val="-8"/>
                <w:sz w:val="24"/>
                <w:u w:val="single"/>
              </w:rPr>
              <w:t>签订</w:t>
            </w:r>
            <w:r>
              <w:rPr>
                <w:b/>
                <w:spacing w:val="-72"/>
                <w:sz w:val="24"/>
                <w:u w:val="single"/>
              </w:rPr>
              <w:t xml:space="preserve">合同后 </w:t>
            </w:r>
            <w:r>
              <w:rPr>
                <w:b/>
                <w:sz w:val="24"/>
                <w:u w:val="single"/>
              </w:rPr>
              <w:t>14</w:t>
            </w:r>
            <w:r>
              <w:rPr>
                <w:b/>
                <w:spacing w:val="-16"/>
                <w:sz w:val="24"/>
                <w:u w:val="single"/>
              </w:rPr>
              <w:t xml:space="preserve"> 天内。</w:t>
            </w:r>
          </w:p>
          <w:p>
            <w:pPr>
              <w:pStyle w:val="11"/>
              <w:spacing w:line="294" w:lineRule="exact"/>
              <w:ind w:left="115"/>
              <w:rPr>
                <w:b/>
                <w:sz w:val="24"/>
              </w:rPr>
            </w:pPr>
            <w:r>
              <w:rPr>
                <w:spacing w:val="-6"/>
                <w:sz w:val="24"/>
              </w:rPr>
              <w:t>承包人将施工控制网资料报送监理人审批的期限：</w:t>
            </w:r>
            <w:r>
              <w:rPr>
                <w:b/>
                <w:spacing w:val="-11"/>
                <w:sz w:val="24"/>
                <w:u w:val="single"/>
              </w:rPr>
              <w:t xml:space="preserve">签订合同后 </w:t>
            </w:r>
            <w:r>
              <w:rPr>
                <w:b/>
                <w:sz w:val="24"/>
                <w:u w:val="single"/>
              </w:rPr>
              <w:t>28</w:t>
            </w:r>
            <w:r>
              <w:rPr>
                <w:b/>
                <w:spacing w:val="-21"/>
                <w:sz w:val="24"/>
                <w:u w:val="single"/>
              </w:rPr>
              <w:t xml:space="preserve"> 天内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6"/>
              <w:ind w:left="19"/>
              <w:jc w:val="center"/>
              <w:rPr>
                <w:sz w:val="24"/>
              </w:rPr>
            </w:pPr>
            <w:r>
              <w:rPr>
                <w:sz w:val="24"/>
              </w:rPr>
              <w:t>9</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6"/>
              <w:ind w:left="41" w:right="15"/>
              <w:jc w:val="center"/>
              <w:rPr>
                <w:sz w:val="24"/>
              </w:rPr>
            </w:pPr>
            <w:r>
              <w:rPr>
                <w:sz w:val="24"/>
              </w:rPr>
              <w:t>11.5</w:t>
            </w:r>
          </w:p>
        </w:tc>
        <w:tc>
          <w:tcPr>
            <w:tcW w:w="7426" w:type="dxa"/>
            <w:tcBorders>
              <w:top w:val="single" w:color="000000" w:sz="6" w:space="0"/>
              <w:left w:val="single" w:color="000000" w:sz="6" w:space="0"/>
              <w:bottom w:val="single" w:color="000000" w:sz="6" w:space="0"/>
            </w:tcBorders>
          </w:tcPr>
          <w:p>
            <w:pPr>
              <w:pStyle w:val="11"/>
              <w:spacing w:before="96"/>
              <w:ind w:left="115"/>
              <w:rPr>
                <w:sz w:val="24"/>
              </w:rPr>
            </w:pPr>
            <w:r>
              <w:rPr>
                <w:sz w:val="24"/>
              </w:rPr>
              <w:t>逾期交工违约金及主要进度节点违约金：</w:t>
            </w:r>
            <w:r>
              <w:rPr>
                <w:b/>
                <w:sz w:val="24"/>
                <w:u w:val="single"/>
              </w:rPr>
              <w:t xml:space="preserve">5000 </w:t>
            </w:r>
            <w:r>
              <w:rPr>
                <w:sz w:val="24"/>
              </w:rPr>
              <w:t>元/天</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6"/>
              <w:ind w:left="101" w:right="82"/>
              <w:jc w:val="center"/>
              <w:rPr>
                <w:sz w:val="24"/>
              </w:rPr>
            </w:pPr>
            <w:r>
              <w:rPr>
                <w:sz w:val="24"/>
              </w:rPr>
              <w:t>10</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6"/>
              <w:ind w:left="41" w:right="15"/>
              <w:jc w:val="center"/>
              <w:rPr>
                <w:sz w:val="24"/>
              </w:rPr>
            </w:pPr>
            <w:r>
              <w:rPr>
                <w:sz w:val="24"/>
              </w:rPr>
              <w:t>11.5</w:t>
            </w:r>
          </w:p>
        </w:tc>
        <w:tc>
          <w:tcPr>
            <w:tcW w:w="7426" w:type="dxa"/>
            <w:tcBorders>
              <w:top w:val="single" w:color="000000" w:sz="6" w:space="0"/>
              <w:left w:val="single" w:color="000000" w:sz="6" w:space="0"/>
              <w:bottom w:val="single" w:color="000000" w:sz="6" w:space="0"/>
            </w:tcBorders>
          </w:tcPr>
          <w:p>
            <w:pPr>
              <w:pStyle w:val="11"/>
              <w:spacing w:before="96"/>
              <w:ind w:left="115"/>
              <w:rPr>
                <w:sz w:val="24"/>
              </w:rPr>
            </w:pPr>
            <w:r>
              <w:rPr>
                <w:sz w:val="24"/>
              </w:rPr>
              <w:t>逾期交工违约金限额：</w:t>
            </w:r>
            <w:r>
              <w:rPr>
                <w:sz w:val="24"/>
                <w:u w:val="single"/>
              </w:rPr>
              <w:t xml:space="preserve"> </w:t>
            </w:r>
            <w:r>
              <w:rPr>
                <w:b/>
                <w:sz w:val="24"/>
                <w:u w:val="single"/>
              </w:rPr>
              <w:t>5</w:t>
            </w:r>
            <w:r>
              <w:rPr>
                <w:sz w:val="24"/>
              </w:rPr>
              <w:t>%签约合同价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7"/>
              <w:ind w:left="101" w:right="82"/>
              <w:jc w:val="center"/>
              <w:rPr>
                <w:sz w:val="24"/>
              </w:rPr>
            </w:pPr>
            <w:r>
              <w:rPr>
                <w:sz w:val="24"/>
              </w:rPr>
              <w:t>11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7"/>
              <w:ind w:left="41" w:right="15"/>
              <w:jc w:val="center"/>
              <w:rPr>
                <w:sz w:val="24"/>
              </w:rPr>
            </w:pPr>
            <w:r>
              <w:rPr>
                <w:sz w:val="24"/>
              </w:rPr>
              <w:t>11.6</w:t>
            </w:r>
          </w:p>
        </w:tc>
        <w:tc>
          <w:tcPr>
            <w:tcW w:w="7426" w:type="dxa"/>
            <w:tcBorders>
              <w:top w:val="single" w:color="000000" w:sz="6" w:space="0"/>
              <w:left w:val="single" w:color="000000" w:sz="6" w:space="0"/>
              <w:bottom w:val="single" w:color="000000" w:sz="6" w:space="0"/>
            </w:tcBorders>
          </w:tcPr>
          <w:p>
            <w:pPr>
              <w:pStyle w:val="11"/>
              <w:spacing w:before="97"/>
              <w:ind w:left="115"/>
              <w:rPr>
                <w:sz w:val="24"/>
              </w:rPr>
            </w:pPr>
            <w:r>
              <w:rPr>
                <w:sz w:val="24"/>
              </w:rPr>
              <w:t>提前交工的奖金：</w:t>
            </w:r>
            <w:r>
              <w:rPr>
                <w:sz w:val="24"/>
                <w:u w:val="single"/>
              </w:rPr>
              <w:t xml:space="preserve"> </w:t>
            </w:r>
            <w:r>
              <w:rPr>
                <w:b/>
                <w:sz w:val="24"/>
                <w:u w:val="single"/>
              </w:rPr>
              <w:t xml:space="preserve">/ </w:t>
            </w:r>
            <w:r>
              <w:rPr>
                <w:sz w:val="24"/>
              </w:rPr>
              <w:t>元/天（不适用）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5"/>
              <w:ind w:left="101" w:right="82"/>
              <w:jc w:val="center"/>
              <w:rPr>
                <w:sz w:val="24"/>
              </w:rPr>
            </w:pPr>
            <w:r>
              <w:rPr>
                <w:sz w:val="24"/>
              </w:rPr>
              <w:t>12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5"/>
              <w:ind w:left="41" w:right="15"/>
              <w:jc w:val="center"/>
              <w:rPr>
                <w:sz w:val="24"/>
              </w:rPr>
            </w:pPr>
            <w:r>
              <w:rPr>
                <w:sz w:val="24"/>
              </w:rPr>
              <w:t>11.6</w:t>
            </w:r>
          </w:p>
        </w:tc>
        <w:tc>
          <w:tcPr>
            <w:tcW w:w="7426" w:type="dxa"/>
            <w:tcBorders>
              <w:top w:val="single" w:color="000000" w:sz="6" w:space="0"/>
              <w:left w:val="single" w:color="000000" w:sz="6" w:space="0"/>
              <w:bottom w:val="single" w:color="000000" w:sz="6" w:space="0"/>
            </w:tcBorders>
          </w:tcPr>
          <w:p>
            <w:pPr>
              <w:pStyle w:val="11"/>
              <w:spacing w:before="95"/>
              <w:ind w:left="115"/>
              <w:rPr>
                <w:sz w:val="24"/>
              </w:rPr>
            </w:pPr>
            <w:r>
              <w:rPr>
                <w:sz w:val="24"/>
              </w:rPr>
              <w:t>提前交工的奖金限额：</w:t>
            </w:r>
            <w:r>
              <w:rPr>
                <w:sz w:val="24"/>
                <w:u w:val="single"/>
              </w:rPr>
              <w:t xml:space="preserve"> </w:t>
            </w:r>
            <w:r>
              <w:rPr>
                <w:b/>
                <w:sz w:val="24"/>
                <w:u w:val="single"/>
              </w:rPr>
              <w:t>/</w:t>
            </w:r>
            <w:r>
              <w:rPr>
                <w:sz w:val="24"/>
              </w:rPr>
              <w:t>%签约合同价（不适用）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729" w:type="dxa"/>
            <w:tcBorders>
              <w:top w:val="single" w:color="000000" w:sz="6" w:space="0"/>
              <w:bottom w:val="single" w:color="000000" w:sz="6" w:space="0"/>
              <w:right w:val="single" w:color="000000" w:sz="6" w:space="0"/>
            </w:tcBorders>
          </w:tcPr>
          <w:p>
            <w:pPr>
              <w:pStyle w:val="11"/>
              <w:spacing w:before="151"/>
              <w:ind w:left="101" w:right="82"/>
              <w:jc w:val="center"/>
              <w:rPr>
                <w:sz w:val="24"/>
              </w:rPr>
            </w:pPr>
            <w:r>
              <w:rPr>
                <w:sz w:val="24"/>
              </w:rPr>
              <w:t>13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1"/>
              <w:ind w:left="41" w:right="15"/>
              <w:jc w:val="center"/>
              <w:rPr>
                <w:sz w:val="24"/>
              </w:rPr>
            </w:pPr>
            <w:r>
              <w:rPr>
                <w:sz w:val="24"/>
              </w:rPr>
              <w:t>15.5.2</w:t>
            </w:r>
          </w:p>
        </w:tc>
        <w:tc>
          <w:tcPr>
            <w:tcW w:w="7426" w:type="dxa"/>
            <w:tcBorders>
              <w:top w:val="single" w:color="000000" w:sz="6" w:space="0"/>
              <w:left w:val="single" w:color="000000" w:sz="6" w:space="0"/>
              <w:bottom w:val="single" w:color="000000" w:sz="6" w:space="0"/>
            </w:tcBorders>
          </w:tcPr>
          <w:p>
            <w:pPr>
              <w:pStyle w:val="11"/>
              <w:spacing w:line="305" w:lineRule="exact"/>
              <w:ind w:left="115"/>
              <w:rPr>
                <w:sz w:val="24"/>
              </w:rPr>
            </w:pPr>
            <w:r>
              <w:rPr>
                <w:sz w:val="24"/>
              </w:rPr>
              <w:t>承包人提出的合理化建议降低了合同价格或者提高了工程经济效益</w:t>
            </w:r>
          </w:p>
          <w:p>
            <w:pPr>
              <w:pStyle w:val="11"/>
              <w:spacing w:before="2" w:line="295" w:lineRule="exact"/>
              <w:ind w:left="115" w:right="-44"/>
              <w:rPr>
                <w:sz w:val="24"/>
              </w:rPr>
            </w:pPr>
            <w:r>
              <w:rPr>
                <w:sz w:val="24"/>
              </w:rPr>
              <w:t>的，发包人按所节约成本的</w:t>
            </w:r>
            <w:r>
              <w:rPr>
                <w:sz w:val="24"/>
                <w:u w:val="single"/>
              </w:rPr>
              <w:t xml:space="preserve"> / </w:t>
            </w:r>
            <w:r>
              <w:rPr>
                <w:sz w:val="24"/>
              </w:rPr>
              <w:t>%或增加收益的</w:t>
            </w:r>
            <w:r>
              <w:rPr>
                <w:sz w:val="24"/>
                <w:u w:val="single"/>
              </w:rPr>
              <w:t xml:space="preserve">/ </w:t>
            </w:r>
            <w:r>
              <w:rPr>
                <w:sz w:val="24"/>
              </w:rPr>
              <w:t>%给予奖励（不适用）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729" w:type="dxa"/>
            <w:tcBorders>
              <w:top w:val="single" w:color="000000" w:sz="6" w:space="0"/>
              <w:bottom w:val="single" w:color="000000" w:sz="6" w:space="0"/>
              <w:right w:val="single" w:color="000000" w:sz="6" w:space="0"/>
            </w:tcBorders>
          </w:tcPr>
          <w:p>
            <w:pPr>
              <w:pStyle w:val="11"/>
              <w:spacing w:before="1"/>
              <w:rPr>
                <w:sz w:val="24"/>
              </w:rPr>
            </w:pPr>
          </w:p>
          <w:p>
            <w:pPr>
              <w:pStyle w:val="11"/>
              <w:ind w:left="101" w:right="82"/>
              <w:jc w:val="center"/>
              <w:rPr>
                <w:sz w:val="24"/>
              </w:rPr>
            </w:pPr>
            <w:r>
              <w:rPr>
                <w:sz w:val="24"/>
              </w:rPr>
              <w:t>14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
              <w:rPr>
                <w:sz w:val="24"/>
              </w:rPr>
            </w:pPr>
          </w:p>
          <w:p>
            <w:pPr>
              <w:pStyle w:val="11"/>
              <w:ind w:left="41" w:right="15"/>
              <w:jc w:val="center"/>
              <w:rPr>
                <w:sz w:val="24"/>
              </w:rPr>
            </w:pPr>
            <w:r>
              <w:rPr>
                <w:sz w:val="24"/>
              </w:rPr>
              <w:t>16.1</w:t>
            </w:r>
          </w:p>
        </w:tc>
        <w:tc>
          <w:tcPr>
            <w:tcW w:w="7426" w:type="dxa"/>
            <w:tcBorders>
              <w:top w:val="single" w:color="000000" w:sz="6" w:space="0"/>
              <w:left w:val="single" w:color="000000" w:sz="6" w:space="0"/>
              <w:bottom w:val="single" w:color="000000" w:sz="6" w:space="0"/>
            </w:tcBorders>
          </w:tcPr>
          <w:p>
            <w:pPr>
              <w:pStyle w:val="11"/>
              <w:spacing w:line="242" w:lineRule="auto"/>
              <w:ind w:left="115" w:right="37"/>
              <w:rPr>
                <w:b/>
                <w:sz w:val="24"/>
              </w:rPr>
            </w:pPr>
            <w:r>
              <w:rPr>
                <w:sz w:val="24"/>
              </w:rPr>
              <w:t>因物价波动引起的主要材料价格调整</w:t>
            </w:r>
            <w:r>
              <w:rPr>
                <w:b/>
                <w:sz w:val="24"/>
              </w:rPr>
              <w:t>按照“河南省交通运输厅关于交</w:t>
            </w:r>
            <w:r>
              <w:rPr>
                <w:b/>
                <w:w w:val="95"/>
                <w:sz w:val="24"/>
              </w:rPr>
              <w:t>通建设项目工程施工主要材料价差调整的知道意见豫交建管函</w:t>
            </w:r>
          </w:p>
          <w:p>
            <w:pPr>
              <w:pStyle w:val="11"/>
              <w:spacing w:line="293" w:lineRule="exact"/>
              <w:ind w:left="115"/>
              <w:rPr>
                <w:sz w:val="24"/>
              </w:rPr>
            </w:pPr>
            <w:r>
              <w:rPr>
                <w:b/>
                <w:sz w:val="24"/>
              </w:rPr>
              <w:t>【2021】15 号”</w:t>
            </w:r>
            <w:r>
              <w:rPr>
                <w:sz w:val="24"/>
              </w:rPr>
              <w:t>约定的原则处理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7" w:hRule="atLeast"/>
        </w:trPr>
        <w:tc>
          <w:tcPr>
            <w:tcW w:w="729" w:type="dxa"/>
            <w:tcBorders>
              <w:top w:val="single" w:color="000000" w:sz="6" w:space="0"/>
              <w:right w:val="single" w:color="000000" w:sz="6" w:space="0"/>
            </w:tcBorders>
          </w:tcPr>
          <w:p>
            <w:pPr>
              <w:pStyle w:val="11"/>
              <w:spacing w:before="96"/>
              <w:ind w:left="101" w:right="82"/>
              <w:jc w:val="center"/>
              <w:rPr>
                <w:sz w:val="24"/>
              </w:rPr>
            </w:pPr>
            <w:r>
              <w:rPr>
                <w:sz w:val="24"/>
              </w:rPr>
              <w:t>15</w:t>
            </w:r>
          </w:p>
        </w:tc>
        <w:tc>
          <w:tcPr>
            <w:tcW w:w="1484" w:type="dxa"/>
            <w:tcBorders>
              <w:top w:val="single" w:color="000000" w:sz="6" w:space="0"/>
              <w:left w:val="single" w:color="000000" w:sz="6" w:space="0"/>
              <w:right w:val="single" w:color="000000" w:sz="6" w:space="0"/>
            </w:tcBorders>
          </w:tcPr>
          <w:p>
            <w:pPr>
              <w:pStyle w:val="11"/>
              <w:spacing w:before="96"/>
              <w:ind w:left="94" w:right="15"/>
              <w:jc w:val="center"/>
              <w:rPr>
                <w:sz w:val="24"/>
              </w:rPr>
            </w:pPr>
            <w:r>
              <w:rPr>
                <w:sz w:val="24"/>
              </w:rPr>
              <w:t>17.2.1（1）</w:t>
            </w:r>
          </w:p>
        </w:tc>
        <w:tc>
          <w:tcPr>
            <w:tcW w:w="7426" w:type="dxa"/>
            <w:tcBorders>
              <w:top w:val="single" w:color="000000" w:sz="6" w:space="0"/>
              <w:left w:val="single" w:color="000000" w:sz="6" w:space="0"/>
            </w:tcBorders>
          </w:tcPr>
          <w:p>
            <w:pPr>
              <w:pStyle w:val="11"/>
              <w:spacing w:before="96"/>
              <w:ind w:left="115"/>
              <w:rPr>
                <w:sz w:val="24"/>
              </w:rPr>
            </w:pPr>
            <w:r>
              <w:rPr>
                <w:sz w:val="24"/>
              </w:rPr>
              <w:t>开工预付款金额：</w:t>
            </w:r>
            <w:r>
              <w:rPr>
                <w:sz w:val="24"/>
                <w:u w:val="single"/>
              </w:rPr>
              <w:t xml:space="preserve"> </w:t>
            </w:r>
            <w:r>
              <w:rPr>
                <w:b/>
                <w:sz w:val="24"/>
                <w:u w:val="single"/>
              </w:rPr>
              <w:t xml:space="preserve">10 </w:t>
            </w:r>
            <w:r>
              <w:rPr>
                <w:sz w:val="24"/>
              </w:rPr>
              <w:t>%签约合同价</w:t>
            </w:r>
          </w:p>
        </w:tc>
      </w:tr>
    </w:tbl>
    <w:p>
      <w:pPr>
        <w:spacing w:after="0"/>
        <w:rPr>
          <w:sz w:val="24"/>
        </w:rPr>
        <w:sectPr>
          <w:pgSz w:w="11910" w:h="16840"/>
          <w:pgMar w:top="1380" w:right="720" w:bottom="1080" w:left="820" w:header="746" w:footer="891" w:gutter="0"/>
          <w:cols w:space="720" w:num="1"/>
        </w:sectPr>
      </w:pPr>
    </w:p>
    <w:p>
      <w:pPr>
        <w:pStyle w:val="5"/>
        <w:spacing w:before="2"/>
        <w:ind w:left="0"/>
        <w:rPr>
          <w:rFonts w:ascii="Times New Roman"/>
          <w:sz w:val="5"/>
        </w:rPr>
      </w:pP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9"/>
        <w:gridCol w:w="1484"/>
        <w:gridCol w:w="742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bottom w:val="single" w:color="000000" w:sz="6" w:space="0"/>
              <w:right w:val="single" w:color="000000" w:sz="6" w:space="0"/>
            </w:tcBorders>
          </w:tcPr>
          <w:p>
            <w:pPr>
              <w:pStyle w:val="11"/>
              <w:spacing w:before="101"/>
              <w:ind w:left="101" w:right="82"/>
              <w:jc w:val="center"/>
              <w:rPr>
                <w:b/>
                <w:sz w:val="24"/>
              </w:rPr>
            </w:pPr>
            <w:r>
              <w:rPr>
                <w:b/>
                <w:sz w:val="24"/>
              </w:rPr>
              <w:t>序号</w:t>
            </w:r>
          </w:p>
        </w:tc>
        <w:tc>
          <w:tcPr>
            <w:tcW w:w="1484" w:type="dxa"/>
            <w:tcBorders>
              <w:left w:val="single" w:color="000000" w:sz="6" w:space="0"/>
              <w:bottom w:val="single" w:color="000000" w:sz="6" w:space="0"/>
              <w:right w:val="single" w:color="000000" w:sz="6" w:space="0"/>
            </w:tcBorders>
          </w:tcPr>
          <w:p>
            <w:pPr>
              <w:pStyle w:val="11"/>
              <w:spacing w:before="101"/>
              <w:ind w:left="44" w:right="15"/>
              <w:jc w:val="center"/>
              <w:rPr>
                <w:b/>
                <w:sz w:val="24"/>
              </w:rPr>
            </w:pPr>
            <w:r>
              <w:rPr>
                <w:b/>
                <w:sz w:val="24"/>
              </w:rPr>
              <w:t>条目号</w:t>
            </w:r>
          </w:p>
        </w:tc>
        <w:tc>
          <w:tcPr>
            <w:tcW w:w="7426" w:type="dxa"/>
            <w:tcBorders>
              <w:left w:val="single" w:color="000000" w:sz="6" w:space="0"/>
              <w:bottom w:val="single" w:color="000000" w:sz="6" w:space="0"/>
            </w:tcBorders>
          </w:tcPr>
          <w:p>
            <w:pPr>
              <w:pStyle w:val="11"/>
              <w:spacing w:before="101"/>
              <w:ind w:left="3095" w:right="3062"/>
              <w:jc w:val="center"/>
              <w:rPr>
                <w:b/>
                <w:sz w:val="24"/>
              </w:rPr>
            </w:pPr>
            <w:r>
              <w:rPr>
                <w:b/>
                <w:sz w:val="24"/>
              </w:rPr>
              <w:t>信息或数据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16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94" w:right="15"/>
              <w:jc w:val="center"/>
              <w:rPr>
                <w:sz w:val="24"/>
              </w:rPr>
            </w:pPr>
            <w:r>
              <w:rPr>
                <w:sz w:val="24"/>
              </w:rPr>
              <w:t>17.2.1（2）</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197"/>
              <w:rPr>
                <w:sz w:val="24"/>
              </w:rPr>
            </w:pPr>
            <w:r>
              <w:rPr>
                <w:sz w:val="24"/>
              </w:rPr>
              <w:t xml:space="preserve">材料、设备预付款比例： </w:t>
            </w:r>
            <w:r>
              <w:rPr>
                <w:b/>
                <w:sz w:val="24"/>
              </w:rPr>
              <w:t>钢材、水泥、石料、沥青等</w:t>
            </w:r>
            <w:r>
              <w:rPr>
                <w:sz w:val="24"/>
              </w:rPr>
              <w:t>主要材料单据所列费用的</w:t>
            </w:r>
            <w:r>
              <w:rPr>
                <w:b/>
                <w:sz w:val="24"/>
                <w:u w:val="single"/>
              </w:rPr>
              <w:t>/%</w:t>
            </w:r>
            <w:r>
              <w:rPr>
                <w:sz w:val="24"/>
              </w:rPr>
              <w:t>（不适用）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7"/>
              <w:ind w:left="101" w:right="82"/>
              <w:jc w:val="center"/>
              <w:rPr>
                <w:sz w:val="24"/>
              </w:rPr>
            </w:pPr>
            <w:r>
              <w:rPr>
                <w:sz w:val="24"/>
              </w:rPr>
              <w:t>17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7"/>
              <w:ind w:left="41" w:right="15"/>
              <w:jc w:val="center"/>
              <w:rPr>
                <w:sz w:val="24"/>
              </w:rPr>
            </w:pPr>
            <w:r>
              <w:rPr>
                <w:sz w:val="24"/>
              </w:rPr>
              <w:t>17.3.2</w:t>
            </w:r>
          </w:p>
        </w:tc>
        <w:tc>
          <w:tcPr>
            <w:tcW w:w="7426" w:type="dxa"/>
            <w:tcBorders>
              <w:top w:val="single" w:color="000000" w:sz="6" w:space="0"/>
              <w:left w:val="single" w:color="000000" w:sz="6" w:space="0"/>
              <w:bottom w:val="single" w:color="000000" w:sz="6" w:space="0"/>
            </w:tcBorders>
          </w:tcPr>
          <w:p>
            <w:pPr>
              <w:pStyle w:val="11"/>
              <w:spacing w:before="1"/>
              <w:ind w:left="115"/>
              <w:rPr>
                <w:b/>
                <w:sz w:val="24"/>
              </w:rPr>
            </w:pPr>
            <w:r>
              <w:rPr>
                <w:sz w:val="24"/>
              </w:rPr>
              <w:t>承包人在每个付款周期末向监理人提交进度付款申请单的份数：</w:t>
            </w:r>
            <w:r>
              <w:rPr>
                <w:sz w:val="24"/>
                <w:u w:val="single"/>
              </w:rPr>
              <w:t xml:space="preserve"> </w:t>
            </w:r>
            <w:r>
              <w:rPr>
                <w:b/>
                <w:sz w:val="24"/>
                <w:u w:val="single"/>
              </w:rPr>
              <w:t>6</w:t>
            </w:r>
          </w:p>
          <w:p>
            <w:pPr>
              <w:pStyle w:val="11"/>
              <w:spacing w:before="4" w:line="289" w:lineRule="exact"/>
              <w:ind w:left="115"/>
              <w:rPr>
                <w:sz w:val="24"/>
              </w:rPr>
            </w:pP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1"/>
              <w:ind w:left="101" w:right="82"/>
              <w:jc w:val="center"/>
              <w:rPr>
                <w:sz w:val="24"/>
              </w:rPr>
            </w:pPr>
            <w:r>
              <w:rPr>
                <w:sz w:val="24"/>
              </w:rPr>
              <w:t>18</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1"/>
              <w:ind w:left="94" w:right="15"/>
              <w:jc w:val="center"/>
              <w:rPr>
                <w:sz w:val="24"/>
              </w:rPr>
            </w:pPr>
            <w:r>
              <w:rPr>
                <w:sz w:val="24"/>
              </w:rPr>
              <w:t>17.3.3（2）</w:t>
            </w:r>
          </w:p>
        </w:tc>
        <w:tc>
          <w:tcPr>
            <w:tcW w:w="7426" w:type="dxa"/>
            <w:tcBorders>
              <w:top w:val="single" w:color="000000" w:sz="6" w:space="0"/>
              <w:left w:val="single" w:color="000000" w:sz="6" w:space="0"/>
              <w:bottom w:val="single" w:color="000000" w:sz="6" w:space="0"/>
            </w:tcBorders>
          </w:tcPr>
          <w:p>
            <w:pPr>
              <w:pStyle w:val="11"/>
              <w:spacing w:before="101"/>
              <w:ind w:left="115"/>
              <w:rPr>
                <w:b/>
                <w:sz w:val="24"/>
              </w:rPr>
            </w:pPr>
            <w:r>
              <w:rPr>
                <w:sz w:val="24"/>
              </w:rPr>
              <w:t>逾期付款违约金的利率：</w:t>
            </w:r>
            <w:r>
              <w:rPr>
                <w:b/>
                <w:sz w:val="24"/>
                <w:u w:val="single"/>
              </w:rPr>
              <w:t>中国人民银行活期存款利率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729" w:type="dxa"/>
            <w:tcBorders>
              <w:top w:val="single" w:color="000000" w:sz="6" w:space="0"/>
              <w:bottom w:val="single" w:color="000000" w:sz="6" w:space="0"/>
              <w:right w:val="single" w:color="000000" w:sz="6" w:space="0"/>
            </w:tcBorders>
          </w:tcPr>
          <w:p>
            <w:pPr>
              <w:pStyle w:val="11"/>
              <w:rPr>
                <w:rFonts w:ascii="Times New Roman"/>
                <w:sz w:val="24"/>
              </w:rPr>
            </w:pPr>
          </w:p>
          <w:p>
            <w:pPr>
              <w:pStyle w:val="11"/>
              <w:spacing w:before="192"/>
              <w:ind w:left="101" w:right="82"/>
              <w:jc w:val="center"/>
              <w:rPr>
                <w:sz w:val="24"/>
              </w:rPr>
            </w:pPr>
            <w:r>
              <w:rPr>
                <w:sz w:val="24"/>
              </w:rPr>
              <w:t>19</w:t>
            </w:r>
          </w:p>
        </w:tc>
        <w:tc>
          <w:tcPr>
            <w:tcW w:w="1484" w:type="dxa"/>
            <w:tcBorders>
              <w:top w:val="single" w:color="000000" w:sz="6" w:space="0"/>
              <w:left w:val="single" w:color="000000" w:sz="6" w:space="0"/>
              <w:bottom w:val="single" w:color="000000" w:sz="6" w:space="0"/>
              <w:right w:val="single" w:color="000000" w:sz="6" w:space="0"/>
            </w:tcBorders>
          </w:tcPr>
          <w:p>
            <w:pPr>
              <w:pStyle w:val="11"/>
              <w:rPr>
                <w:rFonts w:ascii="Times New Roman"/>
                <w:sz w:val="24"/>
              </w:rPr>
            </w:pPr>
          </w:p>
          <w:p>
            <w:pPr>
              <w:pStyle w:val="11"/>
              <w:spacing w:before="192"/>
              <w:ind w:left="41" w:right="15"/>
              <w:jc w:val="center"/>
              <w:rPr>
                <w:sz w:val="24"/>
              </w:rPr>
            </w:pPr>
            <w:r>
              <w:rPr>
                <w:sz w:val="24"/>
              </w:rPr>
              <w:t>17.4.1</w:t>
            </w:r>
          </w:p>
        </w:tc>
        <w:tc>
          <w:tcPr>
            <w:tcW w:w="7426" w:type="dxa"/>
            <w:tcBorders>
              <w:top w:val="single" w:color="000000" w:sz="6" w:space="0"/>
              <w:left w:val="single" w:color="000000" w:sz="6" w:space="0"/>
              <w:bottom w:val="single" w:color="000000" w:sz="6" w:space="0"/>
            </w:tcBorders>
          </w:tcPr>
          <w:p>
            <w:pPr>
              <w:pStyle w:val="11"/>
              <w:spacing w:before="3" w:line="242" w:lineRule="auto"/>
              <w:ind w:left="115" w:right="77"/>
              <w:jc w:val="both"/>
              <w:rPr>
                <w:sz w:val="24"/>
              </w:rPr>
            </w:pPr>
            <w:r>
              <w:rPr>
                <w:sz w:val="24"/>
              </w:rPr>
              <w:t>质量保证金金额</w:t>
            </w:r>
            <w:r>
              <w:rPr>
                <w:b/>
                <w:spacing w:val="-14"/>
                <w:sz w:val="24"/>
              </w:rPr>
              <w:t>：</w:t>
            </w:r>
            <w:r>
              <w:rPr>
                <w:b/>
                <w:spacing w:val="-14"/>
                <w:sz w:val="24"/>
                <w:u w:val="single"/>
              </w:rPr>
              <w:t>3</w:t>
            </w:r>
            <w:r>
              <w:rPr>
                <w:b/>
                <w:spacing w:val="-60"/>
                <w:sz w:val="24"/>
              </w:rPr>
              <w:t xml:space="preserve"> </w:t>
            </w:r>
            <w:r>
              <w:rPr>
                <w:spacing w:val="-6"/>
                <w:sz w:val="24"/>
              </w:rPr>
              <w:t>%合同价格，若交工验收时承包人具备被招标项目</w:t>
            </w:r>
            <w:r>
              <w:rPr>
                <w:spacing w:val="-5"/>
                <w:sz w:val="24"/>
              </w:rPr>
              <w:t>所在地省级交通运输主管部门评定的最高信用等级，发包人给予</w:t>
            </w:r>
            <w:r>
              <w:rPr>
                <w:spacing w:val="-1"/>
                <w:sz w:val="24"/>
                <w:u w:val="single"/>
              </w:rPr>
              <w:t xml:space="preserve"> </w:t>
            </w:r>
            <w:r>
              <w:rPr>
                <w:b/>
                <w:sz w:val="24"/>
                <w:u w:val="single"/>
              </w:rPr>
              <w:t>1</w:t>
            </w:r>
            <w:r>
              <w:rPr>
                <w:b/>
                <w:spacing w:val="119"/>
                <w:sz w:val="24"/>
              </w:rPr>
              <w:t xml:space="preserve"> </w:t>
            </w:r>
            <w:r>
              <w:rPr>
                <w:spacing w:val="-16"/>
                <w:sz w:val="24"/>
              </w:rPr>
              <w:t xml:space="preserve">% </w:t>
            </w:r>
            <w:r>
              <w:rPr>
                <w:sz w:val="24"/>
              </w:rPr>
              <w:t>合同价格质量保证金的优惠。</w:t>
            </w:r>
          </w:p>
          <w:p>
            <w:pPr>
              <w:pStyle w:val="11"/>
              <w:spacing w:line="290" w:lineRule="exact"/>
              <w:ind w:left="115"/>
              <w:rPr>
                <w:b/>
                <w:sz w:val="24"/>
              </w:rPr>
            </w:pPr>
            <w:r>
              <w:rPr>
                <w:w w:val="95"/>
                <w:sz w:val="24"/>
              </w:rPr>
              <w:t>质量保证金是否支付利息：</w:t>
            </w:r>
            <w:r>
              <w:rPr>
                <w:b/>
                <w:w w:val="95"/>
                <w:sz w:val="24"/>
              </w:rPr>
              <w:t>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20</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94" w:right="15"/>
              <w:jc w:val="center"/>
              <w:rPr>
                <w:sz w:val="24"/>
              </w:rPr>
            </w:pPr>
            <w:r>
              <w:rPr>
                <w:sz w:val="24"/>
              </w:rPr>
              <w:t>17.5.1（1）</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78"/>
              <w:rPr>
                <w:sz w:val="24"/>
              </w:rPr>
            </w:pPr>
            <w:r>
              <w:rPr>
                <w:spacing w:val="-3"/>
                <w:sz w:val="24"/>
              </w:rPr>
              <w:t>承包人向监理人提交交工付款申请单（</w:t>
            </w:r>
            <w:r>
              <w:rPr>
                <w:sz w:val="24"/>
              </w:rPr>
              <w:t>包括相关证明材料</w:t>
            </w:r>
            <w:r>
              <w:rPr>
                <w:spacing w:val="-36"/>
                <w:sz w:val="24"/>
              </w:rPr>
              <w:t>）</w:t>
            </w:r>
            <w:r>
              <w:rPr>
                <w:spacing w:val="-7"/>
                <w:sz w:val="24"/>
              </w:rPr>
              <w:t>的份数：</w:t>
            </w:r>
            <w:r>
              <w:rPr>
                <w:b/>
                <w:spacing w:val="-28"/>
                <w:sz w:val="24"/>
                <w:u w:val="single"/>
              </w:rPr>
              <w:t xml:space="preserve">6 </w:t>
            </w: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7"/>
              <w:ind w:left="101" w:right="82"/>
              <w:jc w:val="center"/>
              <w:rPr>
                <w:sz w:val="24"/>
              </w:rPr>
            </w:pPr>
            <w:r>
              <w:rPr>
                <w:sz w:val="24"/>
              </w:rPr>
              <w:t>21</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7"/>
              <w:ind w:left="94" w:right="15"/>
              <w:jc w:val="center"/>
              <w:rPr>
                <w:sz w:val="24"/>
              </w:rPr>
            </w:pPr>
            <w:r>
              <w:rPr>
                <w:sz w:val="24"/>
              </w:rPr>
              <w:t>17.6.1（1）</w:t>
            </w:r>
          </w:p>
        </w:tc>
        <w:tc>
          <w:tcPr>
            <w:tcW w:w="7426" w:type="dxa"/>
            <w:tcBorders>
              <w:top w:val="single" w:color="000000" w:sz="6" w:space="0"/>
              <w:left w:val="single" w:color="000000" w:sz="6" w:space="0"/>
              <w:bottom w:val="single" w:color="000000" w:sz="6" w:space="0"/>
            </w:tcBorders>
          </w:tcPr>
          <w:p>
            <w:pPr>
              <w:pStyle w:val="11"/>
              <w:spacing w:before="1"/>
              <w:ind w:left="115"/>
              <w:rPr>
                <w:b/>
                <w:sz w:val="24"/>
              </w:rPr>
            </w:pPr>
            <w:r>
              <w:rPr>
                <w:spacing w:val="-3"/>
                <w:sz w:val="24"/>
              </w:rPr>
              <w:t>承包人向监理人提交最终结清申请单（</w:t>
            </w:r>
            <w:r>
              <w:rPr>
                <w:sz w:val="24"/>
              </w:rPr>
              <w:t>包括相关证明材料</w:t>
            </w:r>
            <w:r>
              <w:rPr>
                <w:spacing w:val="-36"/>
                <w:sz w:val="24"/>
              </w:rPr>
              <w:t>）</w:t>
            </w:r>
            <w:r>
              <w:rPr>
                <w:spacing w:val="-5"/>
                <w:sz w:val="24"/>
              </w:rPr>
              <w:t>的份数：</w:t>
            </w:r>
            <w:r>
              <w:rPr>
                <w:b/>
                <w:spacing w:val="-20"/>
                <w:sz w:val="24"/>
                <w:u w:val="single"/>
              </w:rPr>
              <w:t>6</w:t>
            </w:r>
          </w:p>
          <w:p>
            <w:pPr>
              <w:pStyle w:val="11"/>
              <w:spacing w:before="4" w:line="289" w:lineRule="exact"/>
              <w:ind w:left="115"/>
              <w:rPr>
                <w:sz w:val="24"/>
              </w:rPr>
            </w:pP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1"/>
              <w:ind w:left="101" w:right="82"/>
              <w:jc w:val="center"/>
              <w:rPr>
                <w:sz w:val="24"/>
              </w:rPr>
            </w:pPr>
            <w:r>
              <w:rPr>
                <w:sz w:val="24"/>
              </w:rPr>
              <w:t>22</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1"/>
              <w:ind w:left="41" w:right="15"/>
              <w:jc w:val="center"/>
              <w:rPr>
                <w:sz w:val="24"/>
              </w:rPr>
            </w:pPr>
            <w:r>
              <w:rPr>
                <w:sz w:val="24"/>
              </w:rPr>
              <w:t>18.2（2）</w:t>
            </w:r>
          </w:p>
        </w:tc>
        <w:tc>
          <w:tcPr>
            <w:tcW w:w="7426" w:type="dxa"/>
            <w:tcBorders>
              <w:top w:val="single" w:color="000000" w:sz="6" w:space="0"/>
              <w:left w:val="single" w:color="000000" w:sz="6" w:space="0"/>
              <w:bottom w:val="single" w:color="000000" w:sz="6" w:space="0"/>
            </w:tcBorders>
          </w:tcPr>
          <w:p>
            <w:pPr>
              <w:pStyle w:val="11"/>
              <w:spacing w:before="101"/>
              <w:ind w:left="115"/>
              <w:rPr>
                <w:sz w:val="24"/>
              </w:rPr>
            </w:pPr>
            <w:r>
              <w:rPr>
                <w:sz w:val="24"/>
              </w:rPr>
              <w:t>竣工资料的份数：</w:t>
            </w:r>
            <w:r>
              <w:rPr>
                <w:sz w:val="24"/>
                <w:u w:val="single"/>
              </w:rPr>
              <w:t xml:space="preserve"> </w:t>
            </w:r>
            <w:r>
              <w:rPr>
                <w:b/>
                <w:sz w:val="24"/>
                <w:u w:val="single"/>
              </w:rPr>
              <w:t>2</w:t>
            </w:r>
            <w:r>
              <w:rPr>
                <w:b/>
                <w:spacing w:val="-61"/>
                <w:sz w:val="24"/>
              </w:rPr>
              <w:t xml:space="preserve"> </w:t>
            </w:r>
            <w:r>
              <w:rPr>
                <w:sz w:val="24"/>
              </w:rPr>
              <w:t>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3" w:hRule="atLeast"/>
        </w:trPr>
        <w:tc>
          <w:tcPr>
            <w:tcW w:w="729" w:type="dxa"/>
            <w:tcBorders>
              <w:top w:val="single" w:color="000000" w:sz="6" w:space="0"/>
              <w:bottom w:val="single" w:color="000000" w:sz="6" w:space="0"/>
              <w:right w:val="single" w:color="000000" w:sz="6" w:space="0"/>
            </w:tcBorders>
          </w:tcPr>
          <w:p>
            <w:pPr>
              <w:pStyle w:val="11"/>
              <w:spacing w:before="2"/>
              <w:rPr>
                <w:rFonts w:ascii="Times New Roman"/>
                <w:sz w:val="27"/>
              </w:rPr>
            </w:pPr>
          </w:p>
          <w:p>
            <w:pPr>
              <w:pStyle w:val="11"/>
              <w:ind w:left="101" w:right="82"/>
              <w:jc w:val="center"/>
              <w:rPr>
                <w:sz w:val="24"/>
              </w:rPr>
            </w:pPr>
            <w:r>
              <w:rPr>
                <w:sz w:val="24"/>
              </w:rPr>
              <w:t>23</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2"/>
              <w:rPr>
                <w:rFonts w:ascii="Times New Roman"/>
                <w:sz w:val="27"/>
              </w:rPr>
            </w:pPr>
          </w:p>
          <w:p>
            <w:pPr>
              <w:pStyle w:val="11"/>
              <w:ind w:left="41" w:right="15"/>
              <w:jc w:val="center"/>
              <w:rPr>
                <w:sz w:val="24"/>
              </w:rPr>
            </w:pPr>
            <w:r>
              <w:rPr>
                <w:sz w:val="24"/>
              </w:rPr>
              <w:t>18.5.1</w:t>
            </w:r>
          </w:p>
        </w:tc>
        <w:tc>
          <w:tcPr>
            <w:tcW w:w="7426" w:type="dxa"/>
            <w:tcBorders>
              <w:top w:val="single" w:color="000000" w:sz="6" w:space="0"/>
              <w:left w:val="single" w:color="000000" w:sz="6" w:space="0"/>
              <w:bottom w:val="single" w:color="000000" w:sz="6" w:space="0"/>
            </w:tcBorders>
          </w:tcPr>
          <w:p>
            <w:pPr>
              <w:pStyle w:val="11"/>
              <w:spacing w:before="3"/>
              <w:ind w:left="115"/>
              <w:rPr>
                <w:b/>
                <w:sz w:val="24"/>
              </w:rPr>
            </w:pPr>
            <w:r>
              <w:rPr>
                <w:sz w:val="24"/>
              </w:rPr>
              <w:t>单位工程或工程设备是否需投入施工期运行：</w:t>
            </w:r>
            <w:r>
              <w:rPr>
                <w:b/>
                <w:sz w:val="24"/>
                <w:u w:val="single"/>
              </w:rPr>
              <w:t>否</w:t>
            </w:r>
          </w:p>
          <w:p>
            <w:pPr>
              <w:pStyle w:val="11"/>
              <w:spacing w:before="2"/>
              <w:ind w:left="115"/>
              <w:rPr>
                <w:sz w:val="24"/>
              </w:rPr>
            </w:pPr>
            <w:r>
              <w:rPr>
                <w:sz w:val="24"/>
              </w:rPr>
              <w:t>如单位工程或工程设备需要进行施工期运行，需要施工期运行的单位</w:t>
            </w:r>
          </w:p>
          <w:p>
            <w:pPr>
              <w:pStyle w:val="11"/>
              <w:spacing w:before="4" w:line="289" w:lineRule="exact"/>
              <w:ind w:left="115"/>
              <w:rPr>
                <w:b/>
                <w:sz w:val="24"/>
              </w:rPr>
            </w:pPr>
            <w:r>
              <w:rPr>
                <w:sz w:val="24"/>
              </w:rPr>
              <w:t>工程或工程设备规定如下：</w:t>
            </w:r>
            <w:r>
              <w:rPr>
                <w:sz w:val="24"/>
                <w:u w:val="single"/>
              </w:rPr>
              <w:t xml:space="preserve"> </w:t>
            </w:r>
            <w:r>
              <w:rPr>
                <w:b/>
                <w:sz w:val="24"/>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3" w:hRule="atLeast"/>
        </w:trPr>
        <w:tc>
          <w:tcPr>
            <w:tcW w:w="729" w:type="dxa"/>
            <w:tcBorders>
              <w:top w:val="single" w:color="000000" w:sz="6" w:space="0"/>
              <w:bottom w:val="single" w:color="000000" w:sz="6" w:space="0"/>
              <w:right w:val="single" w:color="000000" w:sz="6" w:space="0"/>
            </w:tcBorders>
          </w:tcPr>
          <w:p>
            <w:pPr>
              <w:pStyle w:val="11"/>
              <w:spacing w:before="1"/>
              <w:rPr>
                <w:rFonts w:ascii="Times New Roman"/>
                <w:sz w:val="27"/>
              </w:rPr>
            </w:pPr>
          </w:p>
          <w:p>
            <w:pPr>
              <w:pStyle w:val="11"/>
              <w:ind w:left="101" w:right="82"/>
              <w:jc w:val="center"/>
              <w:rPr>
                <w:sz w:val="24"/>
              </w:rPr>
            </w:pPr>
            <w:r>
              <w:rPr>
                <w:sz w:val="24"/>
              </w:rPr>
              <w:t>24</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
              <w:rPr>
                <w:rFonts w:ascii="Times New Roman"/>
                <w:sz w:val="27"/>
              </w:rPr>
            </w:pPr>
          </w:p>
          <w:p>
            <w:pPr>
              <w:pStyle w:val="11"/>
              <w:ind w:left="41" w:right="15"/>
              <w:jc w:val="center"/>
              <w:rPr>
                <w:sz w:val="24"/>
              </w:rPr>
            </w:pPr>
            <w:r>
              <w:rPr>
                <w:sz w:val="24"/>
              </w:rPr>
              <w:t>18.6.1</w:t>
            </w:r>
          </w:p>
        </w:tc>
        <w:tc>
          <w:tcPr>
            <w:tcW w:w="7426" w:type="dxa"/>
            <w:tcBorders>
              <w:top w:val="single" w:color="000000" w:sz="6" w:space="0"/>
              <w:left w:val="single" w:color="000000" w:sz="6" w:space="0"/>
              <w:bottom w:val="single" w:color="000000" w:sz="6" w:space="0"/>
            </w:tcBorders>
          </w:tcPr>
          <w:p>
            <w:pPr>
              <w:pStyle w:val="11"/>
              <w:spacing w:before="2"/>
              <w:ind w:left="115"/>
              <w:rPr>
                <w:sz w:val="24"/>
              </w:rPr>
            </w:pPr>
            <w:r>
              <w:rPr>
                <w:sz w:val="24"/>
              </w:rPr>
              <w:t>本工程及工程设备是否进行试运行：是</w:t>
            </w:r>
          </w:p>
          <w:p>
            <w:pPr>
              <w:pStyle w:val="11"/>
              <w:spacing w:before="2"/>
              <w:ind w:left="115"/>
              <w:rPr>
                <w:sz w:val="24"/>
              </w:rPr>
            </w:pPr>
            <w:r>
              <w:rPr>
                <w:sz w:val="24"/>
              </w:rPr>
              <w:t>如本工程及工程设备需要进行试运行 ，试运行的具体规定如下 ：实</w:t>
            </w:r>
          </w:p>
          <w:p>
            <w:pPr>
              <w:pStyle w:val="11"/>
              <w:spacing w:before="4" w:line="290" w:lineRule="exact"/>
              <w:ind w:left="115"/>
              <w:rPr>
                <w:sz w:val="24"/>
              </w:rPr>
            </w:pPr>
            <w:r>
              <w:rPr>
                <w:sz w:val="24"/>
              </w:rPr>
              <w:t>施期另行通知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99"/>
              <w:ind w:left="101" w:right="82"/>
              <w:jc w:val="center"/>
              <w:rPr>
                <w:sz w:val="24"/>
              </w:rPr>
            </w:pPr>
            <w:r>
              <w:rPr>
                <w:sz w:val="24"/>
              </w:rPr>
              <w:t>25</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99"/>
              <w:ind w:left="41" w:right="15"/>
              <w:jc w:val="center"/>
              <w:rPr>
                <w:sz w:val="24"/>
              </w:rPr>
            </w:pPr>
            <w:r>
              <w:rPr>
                <w:sz w:val="24"/>
              </w:rPr>
              <w:t>19.7（1）</w:t>
            </w:r>
          </w:p>
        </w:tc>
        <w:tc>
          <w:tcPr>
            <w:tcW w:w="7426" w:type="dxa"/>
            <w:tcBorders>
              <w:top w:val="single" w:color="000000" w:sz="6" w:space="0"/>
              <w:left w:val="single" w:color="000000" w:sz="6" w:space="0"/>
              <w:bottom w:val="single" w:color="000000" w:sz="6" w:space="0"/>
            </w:tcBorders>
          </w:tcPr>
          <w:p>
            <w:pPr>
              <w:pStyle w:val="11"/>
              <w:spacing w:before="99"/>
              <w:ind w:left="115"/>
              <w:rPr>
                <w:sz w:val="24"/>
              </w:rPr>
            </w:pPr>
            <w:r>
              <w:rPr>
                <w:sz w:val="24"/>
              </w:rPr>
              <w:t>保修期：自实际交工日期起计算 1 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729" w:type="dxa"/>
            <w:tcBorders>
              <w:top w:val="single" w:color="000000" w:sz="6" w:space="0"/>
              <w:bottom w:val="single" w:color="000000" w:sz="6" w:space="0"/>
              <w:right w:val="single" w:color="000000" w:sz="6" w:space="0"/>
            </w:tcBorders>
          </w:tcPr>
          <w:p>
            <w:pPr>
              <w:pStyle w:val="11"/>
              <w:spacing w:before="100"/>
              <w:ind w:left="101" w:right="82"/>
              <w:jc w:val="center"/>
              <w:rPr>
                <w:sz w:val="24"/>
              </w:rPr>
            </w:pPr>
            <w:r>
              <w:rPr>
                <w:sz w:val="24"/>
              </w:rPr>
              <w:t>26</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00"/>
              <w:ind w:left="41" w:right="15"/>
              <w:jc w:val="center"/>
              <w:rPr>
                <w:sz w:val="24"/>
              </w:rPr>
            </w:pPr>
            <w:r>
              <w:rPr>
                <w:sz w:val="24"/>
              </w:rPr>
              <w:t>20.1</w:t>
            </w:r>
          </w:p>
        </w:tc>
        <w:tc>
          <w:tcPr>
            <w:tcW w:w="7426" w:type="dxa"/>
            <w:tcBorders>
              <w:top w:val="single" w:color="000000" w:sz="6" w:space="0"/>
              <w:left w:val="single" w:color="000000" w:sz="6" w:space="0"/>
              <w:bottom w:val="single" w:color="000000" w:sz="6" w:space="0"/>
            </w:tcBorders>
          </w:tcPr>
          <w:p>
            <w:pPr>
              <w:pStyle w:val="11"/>
              <w:spacing w:before="100"/>
              <w:ind w:left="115"/>
              <w:rPr>
                <w:sz w:val="24"/>
              </w:rPr>
            </w:pPr>
            <w:r>
              <w:rPr>
                <w:sz w:val="24"/>
              </w:rPr>
              <w:t>建筑工程一切险的保险费率：参照招标控制价计取方式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bottom w:val="single" w:color="000000" w:sz="6" w:space="0"/>
              <w:right w:val="single" w:color="000000" w:sz="6" w:space="0"/>
            </w:tcBorders>
          </w:tcPr>
          <w:p>
            <w:pPr>
              <w:pStyle w:val="11"/>
              <w:spacing w:before="156"/>
              <w:ind w:left="101" w:right="82"/>
              <w:jc w:val="center"/>
              <w:rPr>
                <w:sz w:val="24"/>
              </w:rPr>
            </w:pPr>
            <w:r>
              <w:rPr>
                <w:sz w:val="24"/>
              </w:rPr>
              <w:t>27</w:t>
            </w:r>
          </w:p>
        </w:tc>
        <w:tc>
          <w:tcPr>
            <w:tcW w:w="1484" w:type="dxa"/>
            <w:tcBorders>
              <w:top w:val="single" w:color="000000" w:sz="6" w:space="0"/>
              <w:left w:val="single" w:color="000000" w:sz="6" w:space="0"/>
              <w:bottom w:val="single" w:color="000000" w:sz="6" w:space="0"/>
              <w:right w:val="single" w:color="000000" w:sz="6" w:space="0"/>
            </w:tcBorders>
          </w:tcPr>
          <w:p>
            <w:pPr>
              <w:pStyle w:val="11"/>
              <w:spacing w:before="156"/>
              <w:ind w:left="41" w:right="15"/>
              <w:jc w:val="center"/>
              <w:rPr>
                <w:sz w:val="24"/>
              </w:rPr>
            </w:pPr>
            <w:r>
              <w:rPr>
                <w:sz w:val="24"/>
              </w:rPr>
              <w:t>20.4.2</w:t>
            </w:r>
          </w:p>
        </w:tc>
        <w:tc>
          <w:tcPr>
            <w:tcW w:w="7426" w:type="dxa"/>
            <w:tcBorders>
              <w:top w:val="single" w:color="000000" w:sz="6" w:space="0"/>
              <w:left w:val="single" w:color="000000" w:sz="6" w:space="0"/>
              <w:bottom w:val="single" w:color="000000" w:sz="6" w:space="0"/>
            </w:tcBorders>
          </w:tcPr>
          <w:p>
            <w:pPr>
              <w:pStyle w:val="11"/>
              <w:spacing w:line="310" w:lineRule="atLeast"/>
              <w:ind w:left="115" w:right="77"/>
              <w:rPr>
                <w:sz w:val="24"/>
              </w:rPr>
            </w:pPr>
            <w:r>
              <w:rPr>
                <w:spacing w:val="-1"/>
                <w:sz w:val="24"/>
              </w:rPr>
              <w:t>第三者责任险的最低投保金额：</w:t>
            </w:r>
            <w:r>
              <w:rPr>
                <w:spacing w:val="-4"/>
                <w:sz w:val="24"/>
              </w:rPr>
              <w:t>3000</w:t>
            </w:r>
            <w:r>
              <w:rPr>
                <w:spacing w:val="-10"/>
                <w:sz w:val="24"/>
              </w:rPr>
              <w:t xml:space="preserve"> 元人民币，事故次数不限</w:t>
            </w:r>
            <w:r>
              <w:rPr>
                <w:sz w:val="24"/>
              </w:rPr>
              <w:t>（</w:t>
            </w:r>
            <w:r>
              <w:rPr>
                <w:spacing w:val="-9"/>
                <w:sz w:val="24"/>
              </w:rPr>
              <w:t>不计</w:t>
            </w:r>
            <w:r>
              <w:rPr>
                <w:sz w:val="24"/>
              </w:rPr>
              <w:t>免赔额）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2" w:hRule="atLeast"/>
        </w:trPr>
        <w:tc>
          <w:tcPr>
            <w:tcW w:w="729" w:type="dxa"/>
            <w:tcBorders>
              <w:top w:val="single" w:color="000000" w:sz="6" w:space="0"/>
              <w:right w:val="single" w:color="000000" w:sz="6" w:space="0"/>
            </w:tcBorders>
          </w:tcPr>
          <w:p>
            <w:pPr>
              <w:pStyle w:val="11"/>
              <w:spacing w:before="157"/>
              <w:ind w:left="101" w:right="82"/>
              <w:jc w:val="center"/>
              <w:rPr>
                <w:sz w:val="24"/>
              </w:rPr>
            </w:pPr>
            <w:r>
              <w:rPr>
                <w:sz w:val="24"/>
              </w:rPr>
              <w:t>28</w:t>
            </w:r>
          </w:p>
        </w:tc>
        <w:tc>
          <w:tcPr>
            <w:tcW w:w="1484" w:type="dxa"/>
            <w:tcBorders>
              <w:top w:val="single" w:color="000000" w:sz="6" w:space="0"/>
              <w:left w:val="single" w:color="000000" w:sz="6" w:space="0"/>
              <w:right w:val="single" w:color="000000" w:sz="6" w:space="0"/>
            </w:tcBorders>
          </w:tcPr>
          <w:p>
            <w:pPr>
              <w:pStyle w:val="11"/>
              <w:spacing w:before="157"/>
              <w:ind w:left="41" w:right="15"/>
              <w:jc w:val="center"/>
              <w:rPr>
                <w:sz w:val="24"/>
              </w:rPr>
            </w:pPr>
            <w:r>
              <w:rPr>
                <w:sz w:val="24"/>
              </w:rPr>
              <w:t>24.1</w:t>
            </w:r>
          </w:p>
        </w:tc>
        <w:tc>
          <w:tcPr>
            <w:tcW w:w="7426" w:type="dxa"/>
            <w:tcBorders>
              <w:top w:val="single" w:color="000000" w:sz="6" w:space="0"/>
              <w:left w:val="single" w:color="000000" w:sz="6" w:space="0"/>
            </w:tcBorders>
          </w:tcPr>
          <w:p>
            <w:pPr>
              <w:pStyle w:val="11"/>
              <w:spacing w:before="1"/>
              <w:ind w:left="115"/>
              <w:rPr>
                <w:sz w:val="24"/>
              </w:rPr>
            </w:pPr>
            <w:r>
              <w:rPr>
                <w:sz w:val="24"/>
              </w:rPr>
              <w:t>争议的最终解决方式：仲裁</w:t>
            </w:r>
          </w:p>
          <w:p>
            <w:pPr>
              <w:pStyle w:val="11"/>
              <w:spacing w:before="4" w:line="289" w:lineRule="exact"/>
              <w:ind w:left="115"/>
              <w:rPr>
                <w:sz w:val="24"/>
              </w:rPr>
            </w:pPr>
            <w:r>
              <w:rPr>
                <w:sz w:val="24"/>
              </w:rPr>
              <w:t>如采用仲裁，仲裁委员会名称：商城县仲裁委员会</w:t>
            </w:r>
          </w:p>
        </w:tc>
      </w:tr>
    </w:tbl>
    <w:p>
      <w:pPr>
        <w:spacing w:after="0" w:line="289" w:lineRule="exact"/>
        <w:rPr>
          <w:sz w:val="24"/>
        </w:rPr>
        <w:sectPr>
          <w:pgSz w:w="11910" w:h="16840"/>
          <w:pgMar w:top="1380" w:right="720" w:bottom="1080" w:left="820" w:header="746" w:footer="891" w:gutter="0"/>
          <w:cols w:space="720" w:num="1"/>
        </w:sectPr>
      </w:pPr>
    </w:p>
    <w:p>
      <w:pPr>
        <w:pStyle w:val="5"/>
        <w:ind w:left="0"/>
        <w:rPr>
          <w:rFonts w:ascii="Times New Roman"/>
          <w:sz w:val="20"/>
        </w:rPr>
      </w:pPr>
    </w:p>
    <w:p>
      <w:pPr>
        <w:pStyle w:val="5"/>
        <w:spacing w:before="2"/>
        <w:ind w:left="0"/>
        <w:rPr>
          <w:rFonts w:ascii="Times New Roman"/>
          <w:sz w:val="20"/>
        </w:rPr>
      </w:pPr>
    </w:p>
    <w:p>
      <w:pPr>
        <w:pStyle w:val="4"/>
        <w:spacing w:before="67"/>
        <w:ind w:left="262" w:right="360"/>
        <w:jc w:val="center"/>
      </w:pPr>
      <w:r>
        <w:t>项目专用合同条款</w:t>
      </w:r>
    </w:p>
    <w:p>
      <w:pPr>
        <w:pStyle w:val="5"/>
        <w:spacing w:before="3"/>
        <w:ind w:left="0"/>
        <w:rPr>
          <w:b/>
          <w:sz w:val="28"/>
        </w:rPr>
      </w:pPr>
    </w:p>
    <w:p>
      <w:pPr>
        <w:pStyle w:val="5"/>
        <w:spacing w:line="364" w:lineRule="auto"/>
        <w:ind w:right="740" w:firstLine="427"/>
        <w:jc w:val="both"/>
      </w:pPr>
      <w:r>
        <w:rPr>
          <w:spacing w:val="-12"/>
        </w:rPr>
        <w:t xml:space="preserve">说明：本部分所列的项目专用合同条款是对“公路工程专用合同条款”中规定必  </w:t>
      </w:r>
      <w:r>
        <w:rPr>
          <w:spacing w:val="-13"/>
        </w:rPr>
        <w:t xml:space="preserve">须在项目专用合同条款中明确的内容的集中，招标人编制的“项目专用合同条款”不  </w:t>
      </w:r>
      <w:r>
        <w:rPr>
          <w:spacing w:val="-13"/>
          <w:w w:val="105"/>
        </w:rPr>
        <w:t>限于本部分所列内容。</w:t>
      </w:r>
    </w:p>
    <w:p>
      <w:pPr>
        <w:pStyle w:val="4"/>
        <w:spacing w:before="119"/>
        <w:jc w:val="both"/>
      </w:pPr>
      <w:r>
        <w:rPr>
          <w:w w:val="105"/>
        </w:rPr>
        <w:t>4.1 承包人的一般义务</w:t>
      </w:r>
    </w:p>
    <w:p>
      <w:pPr>
        <w:pStyle w:val="10"/>
        <w:numPr>
          <w:ilvl w:val="2"/>
          <w:numId w:val="101"/>
        </w:numPr>
        <w:tabs>
          <w:tab w:val="left" w:pos="1424"/>
        </w:tabs>
        <w:spacing w:before="158" w:after="0" w:line="240" w:lineRule="auto"/>
        <w:ind w:left="1424" w:right="0" w:hanging="884"/>
        <w:jc w:val="both"/>
        <w:rPr>
          <w:sz w:val="24"/>
        </w:rPr>
      </w:pPr>
      <w:r>
        <w:rPr>
          <w:w w:val="105"/>
          <w:sz w:val="24"/>
        </w:rPr>
        <w:t>其他义务</w:t>
      </w:r>
    </w:p>
    <w:p>
      <w:pPr>
        <w:pStyle w:val="5"/>
        <w:spacing w:before="161"/>
      </w:pPr>
      <w:r>
        <w:rPr>
          <w:w w:val="105"/>
        </w:rPr>
        <w:t>(6） 承包人应履行的其他义务 ：</w:t>
      </w:r>
    </w:p>
    <w:p>
      <w:pPr>
        <w:pStyle w:val="4"/>
        <w:numPr>
          <w:ilvl w:val="3"/>
          <w:numId w:val="101"/>
        </w:numPr>
        <w:tabs>
          <w:tab w:val="left" w:pos="1265"/>
        </w:tabs>
        <w:spacing w:before="160" w:after="0" w:line="240" w:lineRule="auto"/>
        <w:ind w:left="1264" w:right="0" w:hanging="245"/>
        <w:jc w:val="left"/>
      </w:pPr>
      <w:r>
        <w:rPr>
          <w:u w:val="single"/>
        </w:rPr>
        <w:t>施工过程中履行河南省交通运输厅《河南省公路水运工程施工扬尘污染防治标准</w:t>
      </w:r>
    </w:p>
    <w:p>
      <w:pPr>
        <w:pStyle w:val="4"/>
        <w:spacing w:before="158" w:line="364" w:lineRule="auto"/>
        <w:ind w:right="670"/>
        <w:jc w:val="both"/>
      </w:pPr>
      <w:r>
        <mc:AlternateContent>
          <mc:Choice Requires="wps">
            <w:drawing>
              <wp:anchor distT="0" distB="0" distL="114300" distR="114300" simplePos="0" relativeHeight="251680768" behindDoc="1" locked="0" layoutInCell="1" allowOverlap="1">
                <wp:simplePos x="0" y="0"/>
                <wp:positionH relativeFrom="page">
                  <wp:posOffset>863600</wp:posOffset>
                </wp:positionH>
                <wp:positionV relativeFrom="paragraph">
                  <wp:posOffset>1159510</wp:posOffset>
                </wp:positionV>
                <wp:extent cx="304800" cy="0"/>
                <wp:effectExtent l="0" t="0" r="0" b="0"/>
                <wp:wrapNone/>
                <wp:docPr id="8" name="直线 26"/>
                <wp:cNvGraphicFramePr/>
                <a:graphic xmlns:a="http://schemas.openxmlformats.org/drawingml/2006/main">
                  <a:graphicData uri="http://schemas.microsoft.com/office/word/2010/wordprocessingShape">
                    <wps:wsp>
                      <wps:cNvCnPr/>
                      <wps:spPr>
                        <a:xfrm>
                          <a:off x="0" y="0"/>
                          <a:ext cx="3048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6" o:spid="_x0000_s1026" o:spt="20" style="position:absolute;left:0pt;margin-left:68pt;margin-top:91.3pt;height:0pt;width:24pt;mso-position-horizontal-relative:page;z-index:-251635712;mso-width-relative:page;mso-height-relative:page;" filled="f" stroked="t" coordsize="21600,21600" o:gfxdata="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FgM6dQAAAAL&#10;AQAADwAAAAAAAAABACAAAAAiAAAAZHJzL2Rvd25yZXYueG1sUEsBAhQAFAAAAAgAh07iQHNgp27n&#10;AQAA2wMAAA4AAAAAAAAAAQAgAAAAIwEAAGRycy9lMm9Eb2MueG1sUEsFBgAAAAAGAAYAWQEAAHwF&#10;AAAAAA==&#10;">
                <v:fill on="f" focussize="0,0"/>
                <v:stroke weight="0.6pt" color="#000000" joinstyle="round"/>
                <v:imagedata o:title=""/>
                <o:lock v:ext="edit" aspectratio="f"/>
              </v:line>
            </w:pict>
          </mc:Fallback>
        </mc:AlternateContent>
      </w:r>
      <w:r>
        <w:rPr>
          <w:u w:val="single"/>
        </w:rPr>
        <w:t>（试行）》、信阳市政府关于工地扬尘治理的“6</w:t>
      </w:r>
      <w:r>
        <w:rPr>
          <w:spacing w:val="-9"/>
          <w:u w:val="single"/>
        </w:rPr>
        <w:t xml:space="preserve"> 个百分之百”相关要求。费用计列按</w:t>
      </w:r>
      <w:r>
        <w:rPr>
          <w:spacing w:val="-207"/>
          <w:u w:val="single"/>
        </w:rPr>
        <w:t>照“</w:t>
      </w:r>
      <w:r>
        <w:rPr>
          <w:spacing w:val="-119"/>
          <w:u w:val="single"/>
        </w:rPr>
        <w:t xml:space="preserve"> </w:t>
      </w:r>
      <w:r>
        <w:rPr>
          <w:u w:val="single"/>
        </w:rPr>
        <w:t>豫交文〔2017〕140</w:t>
      </w:r>
      <w:r>
        <w:rPr>
          <w:spacing w:val="-9"/>
          <w:u w:val="single"/>
        </w:rPr>
        <w:t xml:space="preserve"> 号”《河南省交通运输厅关于发布河南省公路建设养护工程施工扬</w:t>
      </w:r>
      <w:r>
        <w:rPr>
          <w:spacing w:val="-9"/>
          <w:w w:val="95"/>
          <w:u w:val="single"/>
        </w:rPr>
        <w:t>尘污染防治专项增加费费率标准的通知》执行，投标人将该项费用考虑在投标报价</w:t>
      </w:r>
      <w:r>
        <w:rPr>
          <w:spacing w:val="-9"/>
          <w:w w:val="95"/>
        </w:rPr>
        <w:t>中。</w:t>
      </w:r>
    </w:p>
    <w:p>
      <w:pPr>
        <w:pStyle w:val="4"/>
        <w:numPr>
          <w:ilvl w:val="3"/>
          <w:numId w:val="101"/>
        </w:numPr>
        <w:tabs>
          <w:tab w:val="left" w:pos="1384"/>
        </w:tabs>
        <w:spacing w:before="0" w:after="0" w:line="305" w:lineRule="exact"/>
        <w:ind w:left="1383" w:right="0" w:hanging="364"/>
        <w:jc w:val="both"/>
      </w:pPr>
      <w:r>
        <mc:AlternateContent>
          <mc:Choice Requires="wps">
            <w:drawing>
              <wp:anchor distT="0" distB="0" distL="114300" distR="114300" simplePos="0" relativeHeight="251716608" behindDoc="0" locked="0" layoutInCell="1" allowOverlap="1">
                <wp:simplePos x="0" y="0"/>
                <wp:positionH relativeFrom="page">
                  <wp:posOffset>1168400</wp:posOffset>
                </wp:positionH>
                <wp:positionV relativeFrom="paragraph">
                  <wp:posOffset>169545</wp:posOffset>
                </wp:positionV>
                <wp:extent cx="4514215" cy="0"/>
                <wp:effectExtent l="0" t="0" r="0" b="0"/>
                <wp:wrapNone/>
                <wp:docPr id="33" name="直线 27"/>
                <wp:cNvGraphicFramePr/>
                <a:graphic xmlns:a="http://schemas.openxmlformats.org/drawingml/2006/main">
                  <a:graphicData uri="http://schemas.microsoft.com/office/word/2010/wordprocessingShape">
                    <wps:wsp>
                      <wps:cNvCnPr/>
                      <wps:spPr>
                        <a:xfrm>
                          <a:off x="0" y="0"/>
                          <a:ext cx="451421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7" o:spid="_x0000_s1026" o:spt="20" style="position:absolute;left:0pt;margin-left:92pt;margin-top:13.35pt;height:0pt;width:355.45pt;mso-position-horizontal-relative:page;z-index:251716608;mso-width-relative:page;mso-height-relative:page;" filled="f" stroked="t" coordsize="21600,21600" o:gfxdata="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qnC&#10;xNYAAAAJAQAADwAAAAAAAAABACAAAAAiAAAAZHJzL2Rvd25yZXYueG1sUEsBAhQAFAAAAAgAh07i&#10;QLq6SRbrAQAA3QMAAA4AAAAAAAAAAQAgAAAAJQEAAGRycy9lMm9Eb2MueG1sUEsFBgAAAAAGAAYA&#10;WQEAAIIFAAAAAA==&#10;">
                <v:fill on="f" focussize="0,0"/>
                <v:stroke weight="0.6pt" color="#000000" joinstyle="round"/>
                <v:imagedata o:title=""/>
                <o:lock v:ext="edit" aspectratio="f"/>
              </v:line>
            </w:pict>
          </mc:Fallback>
        </mc:AlternateContent>
      </w:r>
      <w:r>
        <w:t>施工过程中履行河南省交通运输厅关于施工标准化的相关要求。</w:t>
      </w:r>
    </w:p>
    <w:p>
      <w:pPr>
        <w:pStyle w:val="4"/>
        <w:numPr>
          <w:ilvl w:val="1"/>
          <w:numId w:val="102"/>
        </w:numPr>
        <w:tabs>
          <w:tab w:val="left" w:pos="1302"/>
        </w:tabs>
        <w:spacing w:before="161" w:after="0" w:line="240" w:lineRule="auto"/>
        <w:ind w:left="1301" w:right="0" w:hanging="762"/>
        <w:jc w:val="both"/>
      </w:pPr>
      <w:r>
        <w:rPr>
          <w:spacing w:val="2"/>
          <w:w w:val="105"/>
        </w:rPr>
        <w:t>不利物质条件</w:t>
      </w:r>
    </w:p>
    <w:p>
      <w:pPr>
        <w:pStyle w:val="10"/>
        <w:numPr>
          <w:ilvl w:val="2"/>
          <w:numId w:val="102"/>
        </w:numPr>
        <w:tabs>
          <w:tab w:val="left" w:pos="1465"/>
          <w:tab w:val="left" w:pos="4569"/>
        </w:tabs>
        <w:spacing w:before="158" w:after="0" w:line="240" w:lineRule="auto"/>
        <w:ind w:left="1464" w:right="0" w:hanging="925"/>
        <w:jc w:val="left"/>
        <w:rPr>
          <w:sz w:val="24"/>
        </w:rPr>
      </w:pPr>
      <w:r>
        <w:rPr>
          <w:spacing w:val="-3"/>
          <w:w w:val="110"/>
          <w:sz w:val="24"/>
        </w:rPr>
        <w:t>不</w:t>
      </w:r>
      <w:r>
        <w:rPr>
          <w:w w:val="110"/>
          <w:sz w:val="24"/>
        </w:rPr>
        <w:t>利</w:t>
      </w:r>
      <w:r>
        <w:rPr>
          <w:spacing w:val="-3"/>
          <w:w w:val="110"/>
          <w:sz w:val="24"/>
        </w:rPr>
        <w:t>物质</w:t>
      </w:r>
      <w:r>
        <w:rPr>
          <w:w w:val="110"/>
          <w:sz w:val="24"/>
        </w:rPr>
        <w:t>条</w:t>
      </w:r>
      <w:r>
        <w:rPr>
          <w:spacing w:val="-3"/>
          <w:w w:val="110"/>
          <w:sz w:val="24"/>
        </w:rPr>
        <w:t>件</w:t>
      </w:r>
      <w:r>
        <w:rPr>
          <w:w w:val="110"/>
          <w:sz w:val="24"/>
        </w:rPr>
        <w:t>的</w:t>
      </w:r>
      <w:r>
        <w:rPr>
          <w:spacing w:val="-3"/>
          <w:w w:val="110"/>
          <w:sz w:val="24"/>
        </w:rPr>
        <w:t>范围</w:t>
      </w:r>
      <w:r>
        <w:rPr>
          <w:w w:val="110"/>
          <w:sz w:val="24"/>
          <w:u w:val="single"/>
        </w:rPr>
        <w:t>：</w:t>
      </w:r>
      <w:r>
        <w:rPr>
          <w:spacing w:val="-24"/>
          <w:w w:val="110"/>
          <w:sz w:val="24"/>
          <w:u w:val="single"/>
        </w:rPr>
        <w:t xml:space="preserve"> </w:t>
      </w:r>
      <w:r>
        <w:rPr>
          <w:w w:val="110"/>
          <w:sz w:val="24"/>
          <w:u w:val="single"/>
        </w:rPr>
        <w:t>/</w:t>
      </w:r>
      <w:r>
        <w:rPr>
          <w:w w:val="110"/>
          <w:sz w:val="24"/>
          <w:u w:val="single"/>
        </w:rPr>
        <w:tab/>
      </w:r>
    </w:p>
    <w:p>
      <w:pPr>
        <w:pStyle w:val="4"/>
        <w:spacing w:before="161"/>
      </w:pPr>
      <w:r>
        <w:rPr>
          <w:w w:val="105"/>
        </w:rPr>
        <w:t>10.1 合同进度计划</w:t>
      </w:r>
    </w:p>
    <w:p>
      <w:pPr>
        <w:pStyle w:val="5"/>
        <w:tabs>
          <w:tab w:val="left" w:pos="4286"/>
        </w:tabs>
        <w:spacing w:before="158"/>
      </w:pPr>
      <w:r>
        <w:rPr>
          <w:w w:val="105"/>
        </w:rPr>
        <w:t>承包人编制施工方案的内容</w:t>
      </w:r>
      <w:r>
        <w:rPr>
          <w:w w:val="105"/>
          <w:u w:val="single"/>
        </w:rPr>
        <w:t>：</w:t>
      </w:r>
      <w:r>
        <w:rPr>
          <w:spacing w:val="-27"/>
          <w:w w:val="105"/>
          <w:u w:val="single"/>
        </w:rPr>
        <w:t xml:space="preserve"> </w:t>
      </w:r>
      <w:r>
        <w:rPr>
          <w:w w:val="105"/>
          <w:u w:val="single"/>
        </w:rPr>
        <w:t>/</w:t>
      </w:r>
      <w:r>
        <w:rPr>
          <w:w w:val="105"/>
          <w:u w:val="single"/>
        </w:rPr>
        <w:tab/>
      </w:r>
    </w:p>
    <w:p>
      <w:pPr>
        <w:pStyle w:val="4"/>
        <w:spacing w:before="160"/>
      </w:pPr>
      <w:r>
        <w:rPr>
          <w:w w:val="105"/>
        </w:rPr>
        <w:t>11.4 异常恶劣的气候条件</w:t>
      </w:r>
    </w:p>
    <w:p>
      <w:pPr>
        <w:pStyle w:val="5"/>
        <w:spacing w:before="158"/>
        <w:ind w:left="1236"/>
      </w:pPr>
      <w:r>
        <w:rPr>
          <w:w w:val="105"/>
        </w:rPr>
        <w:t>异常恶劣的气候条件的范围 ：</w:t>
      </w:r>
      <w:r>
        <w:rPr>
          <w:w w:val="105"/>
          <w:u w:val="single"/>
        </w:rPr>
        <w:t xml:space="preserve"> / </w:t>
      </w:r>
    </w:p>
    <w:p>
      <w:pPr>
        <w:pStyle w:val="4"/>
        <w:tabs>
          <w:tab w:val="left" w:pos="1301"/>
        </w:tabs>
        <w:spacing w:before="161"/>
      </w:pPr>
      <w:r>
        <w:rPr>
          <w:w w:val="105"/>
        </w:rPr>
        <w:t>12.1</w:t>
      </w:r>
      <w:r>
        <w:rPr>
          <w:w w:val="105"/>
        </w:rPr>
        <w:tab/>
      </w:r>
      <w:r>
        <w:rPr>
          <w:spacing w:val="-2"/>
          <w:w w:val="105"/>
        </w:rPr>
        <w:t>承包人暂停施工的责任</w:t>
      </w:r>
    </w:p>
    <w:p>
      <w:pPr>
        <w:pStyle w:val="5"/>
        <w:spacing w:before="158"/>
      </w:pPr>
      <w:r>
        <w:t>12.1(6）由承包人承担的其他暂停施工</w:t>
      </w:r>
      <w:r>
        <w:rPr>
          <w:u w:val="single"/>
        </w:rPr>
        <w:t xml:space="preserve">： / </w:t>
      </w:r>
    </w:p>
    <w:p>
      <w:pPr>
        <w:pStyle w:val="4"/>
        <w:spacing w:before="160"/>
      </w:pPr>
      <w:r>
        <w:rPr>
          <w:w w:val="105"/>
        </w:rPr>
        <w:t>17.1 计量</w:t>
      </w:r>
    </w:p>
    <w:p>
      <w:pPr>
        <w:pStyle w:val="5"/>
        <w:spacing w:before="161"/>
      </w:pPr>
      <w:r>
        <w:t>17.1.5 本项目工程量清单中总额价子目的支付原则和支付进度：</w:t>
      </w:r>
      <w:r>
        <w:rPr>
          <w:u w:val="single"/>
        </w:rPr>
        <w:t xml:space="preserve"> / </w:t>
      </w:r>
    </w:p>
    <w:p>
      <w:pPr>
        <w:pStyle w:val="4"/>
        <w:spacing w:before="158"/>
      </w:pPr>
      <w:r>
        <w:rPr>
          <w:w w:val="105"/>
        </w:rPr>
        <w:t>17.3 工程进度付款</w:t>
      </w:r>
    </w:p>
    <w:p>
      <w:pPr>
        <w:tabs>
          <w:tab w:val="left" w:pos="6419"/>
          <w:tab w:val="left" w:pos="7245"/>
          <w:tab w:val="left" w:pos="7365"/>
        </w:tabs>
        <w:spacing w:before="158" w:line="364" w:lineRule="auto"/>
        <w:ind w:left="540" w:right="2691" w:firstLine="0"/>
        <w:jc w:val="left"/>
        <w:rPr>
          <w:b/>
          <w:sz w:val="24"/>
        </w:rPr>
      </w:pPr>
      <w:r>
        <w:rPr>
          <w:sz w:val="24"/>
        </w:rPr>
        <w:t>17.3.5</w:t>
      </w:r>
      <w:r>
        <w:rPr>
          <w:spacing w:val="10"/>
          <w:sz w:val="24"/>
        </w:rPr>
        <w:t xml:space="preserve"> </w:t>
      </w:r>
      <w:r>
        <w:rPr>
          <w:sz w:val="24"/>
        </w:rPr>
        <w:t>农民工工资保证金的缴存时间</w:t>
      </w:r>
      <w:r>
        <w:rPr>
          <w:sz w:val="24"/>
          <w:u w:val="single"/>
        </w:rPr>
        <w:t>：</w:t>
      </w:r>
      <w:r>
        <w:rPr>
          <w:b/>
          <w:sz w:val="24"/>
          <w:u w:val="single"/>
        </w:rPr>
        <w:t>项目开工前</w:t>
      </w:r>
      <w:r>
        <w:rPr>
          <w:b/>
          <w:sz w:val="24"/>
          <w:u w:val="single"/>
        </w:rPr>
        <w:tab/>
      </w:r>
      <w:r>
        <w:rPr>
          <w:b/>
          <w:sz w:val="24"/>
          <w:u w:val="single"/>
        </w:rPr>
        <w:tab/>
      </w:r>
      <w:r>
        <w:rPr>
          <w:b/>
          <w:sz w:val="24"/>
          <w:u w:val="single"/>
        </w:rPr>
        <w:tab/>
      </w:r>
      <w:r>
        <w:rPr>
          <w:sz w:val="24"/>
        </w:rPr>
        <w:t xml:space="preserve"> 农民工工资保证金的缴存金额</w:t>
      </w:r>
      <w:r>
        <w:rPr>
          <w:spacing w:val="3"/>
          <w:sz w:val="24"/>
        </w:rPr>
        <w:t xml:space="preserve"> </w:t>
      </w:r>
      <w:r>
        <w:rPr>
          <w:b/>
          <w:sz w:val="24"/>
          <w:u w:val="single"/>
        </w:rPr>
        <w:t>：</w:t>
      </w:r>
      <w:r>
        <w:rPr>
          <w:b/>
          <w:spacing w:val="5"/>
          <w:sz w:val="24"/>
          <w:u w:val="single"/>
        </w:rPr>
        <w:t xml:space="preserve"> </w:t>
      </w:r>
      <w:r>
        <w:rPr>
          <w:b/>
          <w:sz w:val="24"/>
          <w:u w:val="single"/>
        </w:rPr>
        <w:t>1%签约合同价</w:t>
      </w:r>
      <w:r>
        <w:rPr>
          <w:b/>
          <w:sz w:val="24"/>
          <w:u w:val="single"/>
        </w:rPr>
        <w:tab/>
      </w:r>
      <w:r>
        <w:rPr>
          <w:b/>
          <w:sz w:val="24"/>
          <w:u w:val="single"/>
        </w:rPr>
        <w:tab/>
      </w:r>
      <w:r>
        <w:rPr>
          <w:sz w:val="24"/>
        </w:rPr>
        <w:t xml:space="preserve">  农民工工资保证金的扣留条件</w:t>
      </w:r>
      <w:r>
        <w:rPr>
          <w:spacing w:val="7"/>
          <w:sz w:val="24"/>
          <w:u w:val="single"/>
        </w:rPr>
        <w:t>：</w:t>
      </w:r>
      <w:r>
        <w:rPr>
          <w:b/>
          <w:sz w:val="24"/>
          <w:u w:val="single"/>
        </w:rPr>
        <w:t>出现经核实的农民工工资上访事件</w:t>
      </w:r>
      <w:r>
        <w:rPr>
          <w:sz w:val="24"/>
        </w:rPr>
        <w:t>农民工工资保证金的返还时间</w:t>
      </w:r>
      <w:r>
        <w:rPr>
          <w:sz w:val="24"/>
          <w:u w:val="single"/>
        </w:rPr>
        <w:t>：</w:t>
      </w:r>
      <w:r>
        <w:rPr>
          <w:b/>
          <w:sz w:val="24"/>
          <w:u w:val="single"/>
        </w:rPr>
        <w:t>项目完成结算审计后</w:t>
      </w:r>
      <w:r>
        <w:rPr>
          <w:b/>
          <w:sz w:val="24"/>
          <w:u w:val="single"/>
        </w:rPr>
        <w:tab/>
      </w:r>
    </w:p>
    <w:p>
      <w:pPr>
        <w:spacing w:after="0" w:line="364" w:lineRule="auto"/>
        <w:jc w:val="left"/>
        <w:rPr>
          <w:sz w:val="24"/>
        </w:rPr>
        <w:sectPr>
          <w:pgSz w:w="11910" w:h="16840"/>
          <w:pgMar w:top="1380" w:right="720" w:bottom="1080" w:left="820" w:header="746" w:footer="891" w:gutter="0"/>
          <w:cols w:space="720" w:num="1"/>
        </w:sectPr>
      </w:pPr>
    </w:p>
    <w:p>
      <w:pPr>
        <w:pStyle w:val="4"/>
        <w:spacing w:before="61"/>
      </w:pPr>
      <w:bookmarkStart w:id="113" w:name="第三节  合同附件格式"/>
      <w:bookmarkEnd w:id="113"/>
      <w:r>
        <w:rPr>
          <w:w w:val="105"/>
        </w:rPr>
        <w:t>21.1 不可抗力的确认</w:t>
      </w:r>
    </w:p>
    <w:p>
      <w:pPr>
        <w:pStyle w:val="5"/>
        <w:spacing w:before="160"/>
      </w:pPr>
      <w:r>
        <w:t>21.1.1(6）不可抗力的其他情形 ：</w:t>
      </w:r>
      <w:r>
        <w:rPr>
          <w:u w:val="single"/>
        </w:rPr>
        <w:t xml:space="preserve"> /</w:t>
      </w:r>
    </w:p>
    <w:p>
      <w:pPr>
        <w:pStyle w:val="4"/>
        <w:numPr>
          <w:ilvl w:val="1"/>
          <w:numId w:val="103"/>
        </w:numPr>
        <w:tabs>
          <w:tab w:val="left" w:pos="1112"/>
        </w:tabs>
        <w:spacing w:before="158" w:after="0" w:line="240" w:lineRule="auto"/>
        <w:ind w:left="1112" w:right="0" w:hanging="572"/>
        <w:jc w:val="left"/>
      </w:pPr>
      <w:r>
        <w:rPr>
          <w:spacing w:val="2"/>
          <w:w w:val="105"/>
        </w:rPr>
        <w:t>承包人违约</w:t>
      </w:r>
    </w:p>
    <w:p>
      <w:pPr>
        <w:tabs>
          <w:tab w:val="left" w:pos="7139"/>
        </w:tabs>
        <w:spacing w:before="161" w:line="362" w:lineRule="auto"/>
        <w:ind w:left="540" w:right="728" w:firstLine="0"/>
        <w:jc w:val="left"/>
        <w:rPr>
          <w:b/>
          <w:sz w:val="24"/>
        </w:rPr>
      </w:pPr>
      <w:r>
        <w:rPr>
          <w:w w:val="105"/>
          <w:sz w:val="24"/>
        </w:rPr>
        <w:t>22.1.2</w:t>
      </w:r>
      <w:r>
        <w:rPr>
          <w:spacing w:val="-30"/>
          <w:w w:val="105"/>
          <w:sz w:val="24"/>
        </w:rPr>
        <w:t xml:space="preserve"> </w:t>
      </w:r>
      <w:r>
        <w:rPr>
          <w:spacing w:val="-5"/>
          <w:w w:val="105"/>
          <w:sz w:val="24"/>
        </w:rPr>
        <w:t>当承</w:t>
      </w:r>
      <w:r>
        <w:rPr>
          <w:spacing w:val="-3"/>
          <w:w w:val="105"/>
          <w:sz w:val="24"/>
        </w:rPr>
        <w:t>包</w:t>
      </w:r>
      <w:r>
        <w:rPr>
          <w:spacing w:val="-5"/>
          <w:w w:val="105"/>
          <w:sz w:val="24"/>
        </w:rPr>
        <w:t>人发生</w:t>
      </w:r>
      <w:r>
        <w:rPr>
          <w:w w:val="105"/>
          <w:sz w:val="24"/>
        </w:rPr>
        <w:t>第</w:t>
      </w:r>
      <w:r>
        <w:rPr>
          <w:spacing w:val="-85"/>
          <w:w w:val="105"/>
          <w:sz w:val="24"/>
        </w:rPr>
        <w:t xml:space="preserve"> </w:t>
      </w:r>
      <w:r>
        <w:rPr>
          <w:w w:val="105"/>
          <w:sz w:val="24"/>
        </w:rPr>
        <w:t>22.1.1</w:t>
      </w:r>
      <w:r>
        <w:rPr>
          <w:spacing w:val="-75"/>
          <w:w w:val="105"/>
          <w:sz w:val="24"/>
        </w:rPr>
        <w:t xml:space="preserve"> </w:t>
      </w:r>
      <w:r>
        <w:rPr>
          <w:w w:val="105"/>
          <w:sz w:val="24"/>
        </w:rPr>
        <w:t>项约定的违约情况时</w:t>
      </w:r>
      <w:r>
        <w:rPr>
          <w:spacing w:val="-10"/>
          <w:w w:val="105"/>
          <w:sz w:val="24"/>
        </w:rPr>
        <w:t>，发</w:t>
      </w:r>
      <w:r>
        <w:rPr>
          <w:spacing w:val="-13"/>
          <w:w w:val="105"/>
          <w:sz w:val="24"/>
        </w:rPr>
        <w:t>包</w:t>
      </w:r>
      <w:r>
        <w:rPr>
          <w:spacing w:val="-10"/>
          <w:w w:val="105"/>
          <w:sz w:val="24"/>
        </w:rPr>
        <w:t>人有</w:t>
      </w:r>
      <w:r>
        <w:rPr>
          <w:spacing w:val="-12"/>
          <w:w w:val="105"/>
          <w:sz w:val="24"/>
        </w:rPr>
        <w:t>权</w:t>
      </w:r>
      <w:r>
        <w:rPr>
          <w:spacing w:val="-10"/>
          <w:w w:val="105"/>
          <w:sz w:val="24"/>
        </w:rPr>
        <w:t>向承</w:t>
      </w:r>
      <w:r>
        <w:rPr>
          <w:spacing w:val="-12"/>
          <w:w w:val="105"/>
          <w:sz w:val="24"/>
        </w:rPr>
        <w:t>包</w:t>
      </w:r>
      <w:r>
        <w:rPr>
          <w:spacing w:val="-10"/>
          <w:w w:val="105"/>
          <w:sz w:val="24"/>
        </w:rPr>
        <w:t>人课</w:t>
      </w:r>
      <w:r>
        <w:rPr>
          <w:spacing w:val="-12"/>
          <w:w w:val="105"/>
          <w:sz w:val="24"/>
        </w:rPr>
        <w:t>以</w:t>
      </w:r>
      <w:r>
        <w:rPr>
          <w:spacing w:val="-15"/>
          <w:w w:val="105"/>
          <w:sz w:val="24"/>
        </w:rPr>
        <w:t>违</w:t>
      </w:r>
      <w:r>
        <w:rPr>
          <w:w w:val="105"/>
          <w:sz w:val="24"/>
        </w:rPr>
        <w:t>约</w:t>
      </w:r>
      <w:r>
        <w:rPr>
          <w:spacing w:val="-15"/>
          <w:sz w:val="24"/>
        </w:rPr>
        <w:t>金，具体约定如下</w:t>
      </w:r>
      <w:r>
        <w:rPr>
          <w:spacing w:val="-12"/>
          <w:sz w:val="24"/>
          <w:u w:val="single"/>
        </w:rPr>
        <w:t>：</w:t>
      </w:r>
      <w:r>
        <w:rPr>
          <w:b/>
          <w:spacing w:val="-15"/>
          <w:sz w:val="24"/>
          <w:u w:val="single"/>
        </w:rPr>
        <w:t>违</w:t>
      </w:r>
      <w:r>
        <w:rPr>
          <w:b/>
          <w:spacing w:val="-17"/>
          <w:sz w:val="24"/>
          <w:u w:val="single"/>
        </w:rPr>
        <w:t>约</w:t>
      </w:r>
      <w:r>
        <w:rPr>
          <w:b/>
          <w:spacing w:val="-15"/>
          <w:sz w:val="24"/>
          <w:u w:val="single"/>
        </w:rPr>
        <w:t>金金额</w:t>
      </w:r>
      <w:r>
        <w:rPr>
          <w:b/>
          <w:spacing w:val="-17"/>
          <w:sz w:val="24"/>
          <w:u w:val="single"/>
        </w:rPr>
        <w:t>：</w:t>
      </w:r>
      <w:r>
        <w:rPr>
          <w:b/>
          <w:spacing w:val="-15"/>
          <w:sz w:val="24"/>
          <w:u w:val="single"/>
        </w:rPr>
        <w:t>每次违</w:t>
      </w:r>
      <w:r>
        <w:rPr>
          <w:b/>
          <w:spacing w:val="38"/>
          <w:sz w:val="24"/>
          <w:u w:val="single"/>
        </w:rPr>
        <w:t>约</w:t>
      </w:r>
      <w:r>
        <w:rPr>
          <w:b/>
          <w:sz w:val="24"/>
          <w:u w:val="single"/>
        </w:rPr>
        <w:t>5</w:t>
      </w:r>
      <w:r>
        <w:rPr>
          <w:b/>
          <w:spacing w:val="1"/>
          <w:sz w:val="24"/>
          <w:u w:val="single"/>
        </w:rPr>
        <w:t xml:space="preserve"> </w:t>
      </w:r>
      <w:r>
        <w:rPr>
          <w:b/>
          <w:spacing w:val="-15"/>
          <w:sz w:val="24"/>
          <w:u w:val="single"/>
        </w:rPr>
        <w:t>万</w:t>
      </w:r>
      <w:r>
        <w:rPr>
          <w:b/>
          <w:spacing w:val="-17"/>
          <w:sz w:val="24"/>
          <w:u w:val="single"/>
        </w:rPr>
        <w:t>元</w:t>
      </w:r>
      <w:r>
        <w:rPr>
          <w:b/>
          <w:spacing w:val="-15"/>
          <w:sz w:val="24"/>
          <w:u w:val="single"/>
        </w:rPr>
        <w:t>以</w:t>
      </w:r>
      <w:r>
        <w:rPr>
          <w:b/>
          <w:sz w:val="24"/>
          <w:u w:val="single"/>
        </w:rPr>
        <w:t>内</w:t>
      </w:r>
      <w:r>
        <w:rPr>
          <w:b/>
          <w:sz w:val="24"/>
          <w:u w:val="single"/>
        </w:rPr>
        <w:tab/>
      </w:r>
    </w:p>
    <w:p>
      <w:pPr>
        <w:pStyle w:val="4"/>
        <w:numPr>
          <w:ilvl w:val="1"/>
          <w:numId w:val="103"/>
        </w:numPr>
        <w:tabs>
          <w:tab w:val="left" w:pos="1112"/>
        </w:tabs>
        <w:spacing w:before="5" w:after="0" w:line="240" w:lineRule="auto"/>
        <w:ind w:left="1112" w:right="0" w:hanging="572"/>
        <w:jc w:val="left"/>
      </w:pPr>
      <w:r>
        <w:rPr>
          <w:spacing w:val="2"/>
          <w:w w:val="105"/>
        </w:rPr>
        <w:t>发包人违约</w:t>
      </w:r>
    </w:p>
    <w:p>
      <w:pPr>
        <w:pStyle w:val="5"/>
        <w:spacing w:before="158"/>
      </w:pPr>
      <w:r>
        <w:rPr>
          <w:w w:val="105"/>
        </w:rPr>
        <w:t>22.2.2 发包人无正当理由不按时返还农民工工资保证金的</w:t>
      </w:r>
    </w:p>
    <w:p>
      <w:pPr>
        <w:spacing w:before="160" w:line="364" w:lineRule="auto"/>
        <w:ind w:left="540" w:right="1978" w:firstLine="0"/>
        <w:jc w:val="left"/>
        <w:rPr>
          <w:b/>
          <w:sz w:val="24"/>
        </w:rPr>
      </w:pPr>
      <w:r>
        <w:rPr>
          <w:spacing w:val="-13"/>
          <w:sz w:val="24"/>
        </w:rPr>
        <w:t>，发包人应向承包人支付的违约金如下</w:t>
      </w:r>
      <w:r>
        <w:rPr>
          <w:spacing w:val="4"/>
          <w:sz w:val="24"/>
          <w:u w:val="single"/>
        </w:rPr>
        <w:t>：</w:t>
      </w:r>
      <w:r>
        <w:rPr>
          <w:b/>
          <w:sz w:val="24"/>
          <w:u w:val="single"/>
        </w:rPr>
        <w:t xml:space="preserve">中国人民银行同期活期存款利率 </w:t>
      </w:r>
      <w:r>
        <w:rPr>
          <w:b/>
          <w:sz w:val="24"/>
        </w:rPr>
        <w:t>其他需要补充、细化的内容：</w:t>
      </w:r>
    </w:p>
    <w:p>
      <w:pPr>
        <w:pStyle w:val="10"/>
        <w:numPr>
          <w:ilvl w:val="0"/>
          <w:numId w:val="104"/>
        </w:numPr>
        <w:tabs>
          <w:tab w:val="left" w:pos="862"/>
        </w:tabs>
        <w:spacing w:before="0" w:after="0" w:line="267" w:lineRule="exact"/>
        <w:ind w:left="861" w:right="0" w:hanging="322"/>
        <w:jc w:val="left"/>
        <w:rPr>
          <w:b/>
          <w:sz w:val="21"/>
        </w:rPr>
      </w:pPr>
      <w:r>
        <w:rPr>
          <w:b/>
          <w:spacing w:val="-15"/>
          <w:w w:val="105"/>
          <w:sz w:val="21"/>
        </w:rPr>
        <w:t>杜绝拖欠工程款和农民工工资</w:t>
      </w:r>
    </w:p>
    <w:p>
      <w:pPr>
        <w:spacing w:before="113" w:line="420" w:lineRule="atLeast"/>
        <w:ind w:left="540" w:right="537" w:firstLine="420"/>
        <w:jc w:val="left"/>
        <w:rPr>
          <w:sz w:val="21"/>
        </w:rPr>
      </w:pPr>
      <w:r>
        <w:rPr>
          <w:spacing w:val="-4"/>
          <w:sz w:val="21"/>
        </w:rPr>
        <w:t>本项目严格执行《河南省人民政府关于解决建设领域拖欠工程款和农民工工资问题的通知》</w:t>
      </w:r>
      <w:r>
        <w:rPr>
          <w:sz w:val="21"/>
        </w:rPr>
        <w:t>（豫</w:t>
      </w:r>
      <w:r>
        <w:rPr>
          <w:spacing w:val="2"/>
          <w:sz w:val="21"/>
        </w:rPr>
        <w:t>政【</w:t>
      </w:r>
      <w:r>
        <w:rPr>
          <w:sz w:val="21"/>
        </w:rPr>
        <w:t>2004】27</w:t>
      </w:r>
      <w:r>
        <w:rPr>
          <w:spacing w:val="-23"/>
          <w:sz w:val="21"/>
        </w:rPr>
        <w:t xml:space="preserve"> 号</w:t>
      </w:r>
      <w:r>
        <w:rPr>
          <w:sz w:val="21"/>
        </w:rPr>
        <w:t>）和河南省交通运输厅《关于建立防止河南省交通建设领域拖欠工程款和农民工工资长效管理机制的通知》（</w:t>
      </w:r>
      <w:r>
        <w:rPr>
          <w:spacing w:val="1"/>
          <w:sz w:val="21"/>
        </w:rPr>
        <w:t>豫交工【</w:t>
      </w:r>
      <w:r>
        <w:rPr>
          <w:sz w:val="21"/>
        </w:rPr>
        <w:t>2007】26</w:t>
      </w:r>
      <w:r>
        <w:rPr>
          <w:spacing w:val="-24"/>
          <w:sz w:val="21"/>
        </w:rPr>
        <w:t xml:space="preserve"> 号</w:t>
      </w:r>
      <w:r>
        <w:rPr>
          <w:sz w:val="21"/>
        </w:rPr>
        <w:t>）等文件精神，发包人将按照省厅要求在“工程质</w:t>
      </w:r>
      <w:r>
        <w:rPr>
          <w:spacing w:val="-9"/>
          <w:sz w:val="21"/>
        </w:rPr>
        <w:t xml:space="preserve">量保证金中提取 </w:t>
      </w:r>
      <w:r>
        <w:rPr>
          <w:sz w:val="21"/>
        </w:rPr>
        <w:t>20</w:t>
      </w:r>
      <w:r>
        <w:rPr>
          <w:spacing w:val="-5"/>
          <w:sz w:val="21"/>
        </w:rPr>
        <w:t xml:space="preserve">%存入发包人开设的农民工工作预储账户，专款专用作为农民工工资保障金，另外， </w:t>
      </w:r>
      <w:r>
        <w:rPr>
          <w:spacing w:val="-14"/>
          <w:w w:val="95"/>
          <w:sz w:val="21"/>
        </w:rPr>
        <w:t xml:space="preserve">并要求投标人承诺，对于已经认定施工单位拖欠的工程款和农民工工资，发包人可动用质量予以支付。   </w:t>
      </w:r>
      <w:r>
        <w:rPr>
          <w:spacing w:val="-16"/>
          <w:sz w:val="21"/>
        </w:rPr>
        <w:t>农民工工资保障金的来源和使用按照和河南省交通厅《关于建立防止河南省交通建设领域拖欠工程款</w:t>
      </w:r>
      <w:r>
        <w:rPr>
          <w:spacing w:val="-17"/>
          <w:sz w:val="21"/>
        </w:rPr>
        <w:t>和农民工工资长效管理机制的通知》</w:t>
      </w:r>
      <w:r>
        <w:rPr>
          <w:sz w:val="21"/>
        </w:rPr>
        <w:t>（</w:t>
      </w:r>
      <w:r>
        <w:rPr>
          <w:spacing w:val="-3"/>
          <w:sz w:val="21"/>
        </w:rPr>
        <w:t>豫交工【</w:t>
      </w:r>
      <w:r>
        <w:rPr>
          <w:sz w:val="21"/>
        </w:rPr>
        <w:t>2007</w:t>
      </w:r>
      <w:r>
        <w:rPr>
          <w:spacing w:val="-8"/>
          <w:sz w:val="21"/>
        </w:rPr>
        <w:t>】</w:t>
      </w:r>
      <w:r>
        <w:rPr>
          <w:sz w:val="21"/>
        </w:rPr>
        <w:t>26</w:t>
      </w:r>
      <w:r>
        <w:rPr>
          <w:spacing w:val="-32"/>
          <w:sz w:val="21"/>
        </w:rPr>
        <w:t xml:space="preserve"> 号</w:t>
      </w:r>
      <w:r>
        <w:rPr>
          <w:spacing w:val="-8"/>
          <w:sz w:val="21"/>
        </w:rPr>
        <w:t>）</w:t>
      </w:r>
      <w:r>
        <w:rPr>
          <w:spacing w:val="-6"/>
          <w:sz w:val="21"/>
        </w:rPr>
        <w:t xml:space="preserve">文件要求;“在质量保证金中提取 </w:t>
      </w:r>
      <w:r>
        <w:rPr>
          <w:sz w:val="21"/>
        </w:rPr>
        <w:t>20%； 如果发生拖欠行为，“由建设单位（发包人)对拖欠情况进行公示，并根据公示情况和支付凭证，动</w:t>
      </w:r>
      <w:r>
        <w:rPr>
          <w:spacing w:val="-4"/>
          <w:sz w:val="21"/>
        </w:rPr>
        <w:t>用这部分资金进行支付，不足部分在合同价款中扣除。凡发生动用农民工工资保证金支付的，在下次工程计量支付时要扣双倍金额补充进行保障金账户，并保留进一步追究责任的权利、如批评、上报、媒体曝光等”（参照豫交工【2005】126</w:t>
      </w:r>
      <w:r>
        <w:rPr>
          <w:spacing w:val="-16"/>
          <w:sz w:val="21"/>
        </w:rPr>
        <w:t xml:space="preserve"> 号文件</w:t>
      </w:r>
      <w:r>
        <w:rPr>
          <w:sz w:val="21"/>
        </w:rPr>
        <w:t>）。若无拖欠农民工工资的问题，农民工工资保障金与质量保证金一并退还。</w:t>
      </w:r>
    </w:p>
    <w:p>
      <w:pPr>
        <w:pStyle w:val="10"/>
        <w:numPr>
          <w:ilvl w:val="0"/>
          <w:numId w:val="104"/>
        </w:numPr>
        <w:tabs>
          <w:tab w:val="left" w:pos="862"/>
        </w:tabs>
        <w:spacing w:before="26" w:after="0" w:line="240" w:lineRule="auto"/>
        <w:ind w:left="861" w:right="0" w:hanging="322"/>
        <w:jc w:val="left"/>
        <w:rPr>
          <w:b/>
          <w:sz w:val="21"/>
        </w:rPr>
      </w:pPr>
      <w:r>
        <w:rPr>
          <w:b/>
          <w:spacing w:val="-13"/>
          <w:w w:val="105"/>
          <w:sz w:val="21"/>
        </w:rPr>
        <w:t>不平衡报价</w:t>
      </w:r>
    </w:p>
    <w:p>
      <w:pPr>
        <w:pStyle w:val="5"/>
        <w:spacing w:before="7"/>
        <w:ind w:left="0"/>
        <w:rPr>
          <w:b/>
          <w:sz w:val="20"/>
        </w:rPr>
      </w:pPr>
    </w:p>
    <w:p>
      <w:pPr>
        <w:spacing w:before="1" w:line="374" w:lineRule="auto"/>
        <w:ind w:left="540" w:right="639" w:firstLine="420"/>
        <w:jc w:val="both"/>
        <w:rPr>
          <w:sz w:val="21"/>
        </w:rPr>
      </w:pPr>
      <w:r>
        <w:rPr>
          <w:sz w:val="21"/>
        </w:rPr>
        <w:t>不平衡报价定义:以中标人投标报价总价占招标人报价总价的比值作为修正系数，相应浮动调整</w:t>
      </w:r>
      <w:r>
        <w:rPr>
          <w:spacing w:val="-15"/>
          <w:sz w:val="21"/>
        </w:rPr>
        <w:t>招标人报价作为“基本单价”，投标人报价中工程量清单</w:t>
      </w:r>
      <w:r>
        <w:rPr>
          <w:sz w:val="21"/>
        </w:rPr>
        <w:t>（</w:t>
      </w:r>
      <w:r>
        <w:rPr>
          <w:spacing w:val="-21"/>
          <w:sz w:val="21"/>
        </w:rPr>
        <w:t xml:space="preserve">不含 </w:t>
      </w:r>
      <w:r>
        <w:rPr>
          <w:sz w:val="21"/>
        </w:rPr>
        <w:t>100</w:t>
      </w:r>
      <w:r>
        <w:rPr>
          <w:spacing w:val="-32"/>
          <w:sz w:val="21"/>
        </w:rPr>
        <w:t xml:space="preserve"> 章</w:t>
      </w:r>
      <w:r>
        <w:rPr>
          <w:spacing w:val="-46"/>
          <w:sz w:val="21"/>
        </w:rPr>
        <w:t>）</w:t>
      </w:r>
      <w:r>
        <w:rPr>
          <w:spacing w:val="-4"/>
          <w:sz w:val="21"/>
        </w:rPr>
        <w:t>中任一支付细目的单价与“基</w:t>
      </w:r>
      <w:r>
        <w:rPr>
          <w:spacing w:val="-3"/>
          <w:sz w:val="21"/>
        </w:rPr>
        <w:t>本单价”相比，</w:t>
      </w:r>
      <w:r>
        <w:rPr>
          <w:b/>
          <w:sz w:val="21"/>
        </w:rPr>
        <w:t>超出招标人报价的+0%至-10%范围以外的投标人报价，则视为严重不平衡报价。</w:t>
      </w:r>
      <w:r>
        <w:rPr>
          <w:sz w:val="21"/>
        </w:rPr>
        <w:t>签订</w:t>
      </w:r>
      <w:r>
        <w:rPr>
          <w:spacing w:val="-7"/>
          <w:w w:val="95"/>
          <w:sz w:val="21"/>
        </w:rPr>
        <w:t xml:space="preserve">合同前，招标人将对严重不平衡报价按总价不变的原则予以调整。若中标候选人不接受招标人对其不   </w:t>
      </w:r>
      <w:r>
        <w:rPr>
          <w:spacing w:val="-7"/>
          <w:sz w:val="21"/>
        </w:rPr>
        <w:t>平衡报价的调整，视为自动放弃中标资格，业主将依次选择下一个中标候选人进行合同谈判。</w:t>
      </w:r>
    </w:p>
    <w:p>
      <w:pPr>
        <w:spacing w:after="0" w:line="374" w:lineRule="auto"/>
        <w:jc w:val="both"/>
        <w:rPr>
          <w:sz w:val="21"/>
        </w:rPr>
        <w:sectPr>
          <w:pgSz w:w="11910" w:h="16840"/>
          <w:pgMar w:top="1380" w:right="720" w:bottom="1080" w:left="820" w:header="746" w:footer="891" w:gutter="0"/>
          <w:cols w:space="720" w:num="1"/>
        </w:sectPr>
      </w:pPr>
    </w:p>
    <w:p>
      <w:pPr>
        <w:pStyle w:val="5"/>
        <w:spacing w:before="12"/>
        <w:ind w:left="0"/>
        <w:rPr>
          <w:sz w:val="19"/>
        </w:rPr>
      </w:pPr>
    </w:p>
    <w:p>
      <w:pPr>
        <w:pStyle w:val="4"/>
        <w:tabs>
          <w:tab w:val="left" w:pos="962"/>
        </w:tabs>
        <w:spacing w:before="67"/>
        <w:ind w:left="0" w:right="98"/>
        <w:jc w:val="center"/>
      </w:pPr>
      <w:r>
        <w:t>第三节</w:t>
      </w:r>
      <w:r>
        <w:tab/>
      </w:r>
      <w:r>
        <w:t>合同附件格式</w:t>
      </w:r>
    </w:p>
    <w:p>
      <w:pPr>
        <w:pStyle w:val="5"/>
        <w:ind w:left="0"/>
        <w:rPr>
          <w:b/>
          <w:sz w:val="20"/>
        </w:rPr>
      </w:pPr>
    </w:p>
    <w:p>
      <w:pPr>
        <w:pStyle w:val="5"/>
        <w:ind w:left="0"/>
        <w:rPr>
          <w:b/>
          <w:sz w:val="20"/>
        </w:rPr>
      </w:pPr>
    </w:p>
    <w:p>
      <w:pPr>
        <w:pStyle w:val="5"/>
        <w:spacing w:before="11"/>
        <w:ind w:left="0"/>
        <w:rPr>
          <w:b/>
          <w:sz w:val="23"/>
        </w:rPr>
      </w:pPr>
    </w:p>
    <w:p>
      <w:pPr>
        <w:pStyle w:val="4"/>
        <w:tabs>
          <w:tab w:val="left" w:pos="1625"/>
        </w:tabs>
        <w:spacing w:before="67"/>
      </w:pPr>
      <w:bookmarkStart w:id="114" w:name="附件一   合同协议书"/>
      <w:bookmarkEnd w:id="114"/>
      <w:r>
        <w:t>附件一</w:t>
      </w:r>
      <w:r>
        <w:tab/>
      </w:r>
      <w:r>
        <w:t>合同协议书</w:t>
      </w:r>
    </w:p>
    <w:p>
      <w:pPr>
        <w:pStyle w:val="5"/>
        <w:ind w:left="0"/>
        <w:rPr>
          <w:b/>
          <w:sz w:val="20"/>
        </w:rPr>
      </w:pPr>
    </w:p>
    <w:p>
      <w:pPr>
        <w:pStyle w:val="5"/>
        <w:spacing w:before="4"/>
        <w:ind w:left="0"/>
        <w:rPr>
          <w:b/>
          <w:sz w:val="23"/>
        </w:rPr>
      </w:pPr>
    </w:p>
    <w:p>
      <w:pPr>
        <w:spacing w:before="70"/>
        <w:ind w:left="260" w:right="360" w:firstLine="0"/>
        <w:jc w:val="center"/>
        <w:rPr>
          <w:b/>
          <w:sz w:val="21"/>
        </w:rPr>
      </w:pPr>
      <w:r>
        <w:rPr>
          <w:b/>
          <w:sz w:val="21"/>
        </w:rPr>
        <w:t>合同协议书</w:t>
      </w:r>
    </w:p>
    <w:p>
      <w:pPr>
        <w:pStyle w:val="5"/>
        <w:ind w:left="0"/>
        <w:rPr>
          <w:b/>
          <w:sz w:val="20"/>
        </w:rPr>
      </w:pPr>
    </w:p>
    <w:p>
      <w:pPr>
        <w:pStyle w:val="5"/>
        <w:spacing w:before="3"/>
        <w:ind w:left="0"/>
        <w:rPr>
          <w:b/>
          <w:sz w:val="17"/>
        </w:rPr>
      </w:pPr>
    </w:p>
    <w:p>
      <w:pPr>
        <w:tabs>
          <w:tab w:val="left" w:pos="1800"/>
          <w:tab w:val="left" w:pos="6605"/>
          <w:tab w:val="left" w:pos="9305"/>
        </w:tabs>
        <w:spacing w:before="70" w:line="364" w:lineRule="auto"/>
        <w:ind w:left="540" w:right="639" w:firstLine="419"/>
        <w:jc w:val="both"/>
        <w:rPr>
          <w:sz w:val="21"/>
        </w:rPr>
      </w:pPr>
      <w:r>
        <w:rPr>
          <w:rFonts w:ascii="Times New Roman" w:hAnsi="Times New Roman" w:eastAsia="Times New Roman"/>
          <w:w w:val="99"/>
          <w:sz w:val="21"/>
          <w:u w:val="single"/>
        </w:rPr>
        <w:t xml:space="preserve"> </w:t>
      </w:r>
      <w:r>
        <w:rPr>
          <w:rFonts w:ascii="Times New Roman" w:hAnsi="Times New Roman" w:eastAsia="Times New Roman"/>
          <w:sz w:val="21"/>
          <w:u w:val="single"/>
        </w:rPr>
        <w:tab/>
      </w:r>
      <w:r>
        <w:rPr>
          <w:sz w:val="21"/>
        </w:rPr>
        <w:t>（发包人名称</w:t>
      </w:r>
      <w:r>
        <w:rPr>
          <w:spacing w:val="-89"/>
          <w:sz w:val="21"/>
        </w:rPr>
        <w:t>，</w:t>
      </w:r>
      <w:r>
        <w:rPr>
          <w:sz w:val="21"/>
        </w:rPr>
        <w:t>以下简</w:t>
      </w:r>
      <w:r>
        <w:rPr>
          <w:spacing w:val="-87"/>
          <w:sz w:val="21"/>
        </w:rPr>
        <w:t>称</w:t>
      </w:r>
      <w:r>
        <w:rPr>
          <w:sz w:val="21"/>
        </w:rPr>
        <w:t>“发包人</w:t>
      </w:r>
      <w:r>
        <w:rPr>
          <w:spacing w:val="-88"/>
          <w:sz w:val="21"/>
        </w:rPr>
        <w:t>”）</w:t>
      </w:r>
      <w:r>
        <w:rPr>
          <w:sz w:val="21"/>
        </w:rPr>
        <w:t>为实施</w:t>
      </w:r>
      <w:r>
        <w:rPr>
          <w:sz w:val="21"/>
          <w:u w:val="single"/>
        </w:rPr>
        <w:t xml:space="preserve"> </w:t>
      </w:r>
      <w:r>
        <w:rPr>
          <w:sz w:val="21"/>
          <w:u w:val="single"/>
        </w:rPr>
        <w:tab/>
      </w:r>
      <w:r>
        <w:rPr>
          <w:sz w:val="21"/>
          <w:u w:val="single"/>
        </w:rPr>
        <w:t>（</w:t>
      </w:r>
      <w:r>
        <w:rPr>
          <w:sz w:val="21"/>
        </w:rPr>
        <w:t>项目名称</w:t>
      </w:r>
      <w:r>
        <w:rPr>
          <w:spacing w:val="-88"/>
          <w:sz w:val="21"/>
        </w:rPr>
        <w:t>），</w:t>
      </w:r>
      <w:r>
        <w:rPr>
          <w:sz w:val="21"/>
        </w:rPr>
        <w:t>已接受</w:t>
      </w:r>
      <w:r>
        <w:rPr>
          <w:sz w:val="21"/>
          <w:u w:val="single"/>
        </w:rPr>
        <w:t xml:space="preserve"> </w:t>
      </w:r>
      <w:r>
        <w:rPr>
          <w:sz w:val="21"/>
          <w:u w:val="single"/>
        </w:rPr>
        <w:tab/>
      </w:r>
      <w:r>
        <w:rPr>
          <w:sz w:val="21"/>
          <w:u w:val="single"/>
        </w:rPr>
        <w:t>（</w:t>
      </w:r>
      <w:r>
        <w:rPr>
          <w:spacing w:val="-17"/>
          <w:sz w:val="21"/>
        </w:rPr>
        <w:t>承</w:t>
      </w:r>
      <w:r>
        <w:rPr>
          <w:sz w:val="21"/>
        </w:rPr>
        <w:t>包人名称，以下简称</w:t>
      </w:r>
      <w:r>
        <w:rPr>
          <w:spacing w:val="4"/>
          <w:sz w:val="21"/>
        </w:rPr>
        <w:t>“</w:t>
      </w:r>
      <w:r>
        <w:rPr>
          <w:sz w:val="21"/>
        </w:rPr>
        <w:t>承包人”）对该项目</w:t>
      </w:r>
      <w:r>
        <w:rPr>
          <w:sz w:val="21"/>
          <w:u w:val="single"/>
        </w:rPr>
        <w:t xml:space="preserve">  </w:t>
      </w:r>
      <w:r>
        <w:rPr>
          <w:spacing w:val="27"/>
          <w:sz w:val="21"/>
          <w:u w:val="single"/>
        </w:rPr>
        <w:t xml:space="preserve"> </w:t>
      </w:r>
      <w:r>
        <w:rPr>
          <w:sz w:val="21"/>
        </w:rPr>
        <w:t>合同段施工的投标。</w:t>
      </w:r>
      <w:r>
        <w:rPr>
          <w:spacing w:val="7"/>
          <w:sz w:val="21"/>
        </w:rPr>
        <w:t xml:space="preserve"> </w:t>
      </w:r>
      <w:r>
        <w:rPr>
          <w:sz w:val="21"/>
        </w:rPr>
        <w:t>发包人和承包人共同达成如下协议。</w:t>
      </w:r>
    </w:p>
    <w:p>
      <w:pPr>
        <w:pStyle w:val="10"/>
        <w:numPr>
          <w:ilvl w:val="1"/>
          <w:numId w:val="104"/>
        </w:numPr>
        <w:tabs>
          <w:tab w:val="left" w:pos="1277"/>
        </w:tabs>
        <w:spacing w:before="0" w:after="0" w:line="364" w:lineRule="auto"/>
        <w:ind w:left="540" w:right="639" w:firstLine="420"/>
        <w:jc w:val="both"/>
        <w:rPr>
          <w:sz w:val="21"/>
        </w:rPr>
      </w:pPr>
      <w:r>
        <w:rPr>
          <w:sz w:val="21"/>
        </w:rPr>
        <w:t>第</w:t>
      </w:r>
      <w:r>
        <w:rPr>
          <w:sz w:val="21"/>
          <w:u w:val="single"/>
        </w:rPr>
        <w:t xml:space="preserve"> </w:t>
      </w:r>
      <w:r>
        <w:rPr>
          <w:spacing w:val="-3"/>
          <w:sz w:val="21"/>
        </w:rPr>
        <w:t xml:space="preserve"> 合同段由 </w:t>
      </w:r>
      <w:r>
        <w:rPr>
          <w:sz w:val="21"/>
        </w:rPr>
        <w:t>K</w:t>
      </w:r>
      <w:r>
        <w:rPr>
          <w:sz w:val="21"/>
          <w:u w:val="single"/>
        </w:rPr>
        <w:t xml:space="preserve">  </w:t>
      </w:r>
      <w:r>
        <w:rPr>
          <w:spacing w:val="9"/>
          <w:sz w:val="21"/>
        </w:rPr>
        <w:t xml:space="preserve"> +</w:t>
      </w:r>
      <w:r>
        <w:rPr>
          <w:sz w:val="21"/>
          <w:u w:val="single"/>
        </w:rPr>
        <w:t xml:space="preserve">   </w:t>
      </w:r>
      <w:r>
        <w:rPr>
          <w:spacing w:val="-5"/>
          <w:sz w:val="21"/>
        </w:rPr>
        <w:t xml:space="preserve"> 至 </w:t>
      </w:r>
      <w:r>
        <w:rPr>
          <w:sz w:val="21"/>
        </w:rPr>
        <w:t>K</w:t>
      </w:r>
      <w:r>
        <w:rPr>
          <w:sz w:val="21"/>
          <w:u w:val="single"/>
        </w:rPr>
        <w:t xml:space="preserve">  </w:t>
      </w:r>
      <w:r>
        <w:rPr>
          <w:spacing w:val="8"/>
          <w:sz w:val="21"/>
        </w:rPr>
        <w:t xml:space="preserve"> +</w:t>
      </w:r>
      <w:r>
        <w:rPr>
          <w:sz w:val="21"/>
          <w:u w:val="single"/>
        </w:rPr>
        <w:t xml:space="preserve">  </w:t>
      </w:r>
      <w:r>
        <w:rPr>
          <w:spacing w:val="-5"/>
          <w:sz w:val="21"/>
        </w:rPr>
        <w:t xml:space="preserve"> ，长约</w:t>
      </w:r>
      <w:r>
        <w:rPr>
          <w:sz w:val="21"/>
          <w:u w:val="single"/>
        </w:rPr>
        <w:t xml:space="preserve">   </w:t>
      </w:r>
      <w:r>
        <w:rPr>
          <w:spacing w:val="16"/>
          <w:sz w:val="21"/>
        </w:rPr>
        <w:t xml:space="preserve"> </w:t>
      </w:r>
      <w:r>
        <w:rPr>
          <w:spacing w:val="-10"/>
          <w:sz w:val="21"/>
        </w:rPr>
        <w:t>km</w:t>
      </w:r>
      <w:r>
        <w:rPr>
          <w:spacing w:val="-3"/>
          <w:sz w:val="21"/>
        </w:rPr>
        <w:t>，公路等级为</w:t>
      </w:r>
      <w:r>
        <w:rPr>
          <w:sz w:val="21"/>
          <w:u w:val="single"/>
        </w:rPr>
        <w:t xml:space="preserve">    </w:t>
      </w:r>
      <w:r>
        <w:rPr>
          <w:spacing w:val="-4"/>
          <w:sz w:val="21"/>
        </w:rPr>
        <w:t xml:space="preserve"> ，设计时速为</w:t>
      </w:r>
      <w:r>
        <w:rPr>
          <w:sz w:val="21"/>
          <w:u w:val="single"/>
        </w:rPr>
        <w:t xml:space="preserve">  </w:t>
      </w:r>
      <w:r>
        <w:rPr>
          <w:spacing w:val="-8"/>
          <w:sz w:val="21"/>
        </w:rPr>
        <w:t xml:space="preserve"> ， </w:t>
      </w:r>
      <w:r>
        <w:rPr>
          <w:sz w:val="21"/>
        </w:rPr>
        <w:t>路面，有</w:t>
      </w:r>
      <w:r>
        <w:rPr>
          <w:spacing w:val="34"/>
          <w:sz w:val="21"/>
        </w:rPr>
        <w:t xml:space="preserve"> 立交</w:t>
      </w:r>
      <w:r>
        <w:rPr>
          <w:spacing w:val="16"/>
          <w:sz w:val="21"/>
        </w:rPr>
        <w:t xml:space="preserve"> 处；特大桥</w:t>
      </w:r>
      <w:r>
        <w:rPr>
          <w:sz w:val="21"/>
          <w:u w:val="single"/>
        </w:rPr>
        <w:t xml:space="preserve"> </w:t>
      </w:r>
      <w:r>
        <w:rPr>
          <w:spacing w:val="19"/>
          <w:sz w:val="21"/>
        </w:rPr>
        <w:t xml:space="preserve"> 座，计长</w:t>
      </w:r>
      <w:r>
        <w:rPr>
          <w:sz w:val="21"/>
          <w:u w:val="single"/>
        </w:rPr>
        <w:t xml:space="preserve"> </w:t>
      </w:r>
      <w:r>
        <w:rPr>
          <w:spacing w:val="103"/>
          <w:sz w:val="21"/>
        </w:rPr>
        <w:t xml:space="preserve"> </w:t>
      </w:r>
      <w:r>
        <w:rPr>
          <w:sz w:val="21"/>
        </w:rPr>
        <w:t>m；大中桥</w:t>
      </w:r>
      <w:r>
        <w:rPr>
          <w:sz w:val="21"/>
          <w:u w:val="single"/>
        </w:rPr>
        <w:t xml:space="preserve"> </w:t>
      </w:r>
      <w:r>
        <w:rPr>
          <w:sz w:val="21"/>
        </w:rPr>
        <w:t xml:space="preserve"> 座，计长</w:t>
      </w:r>
      <w:r>
        <w:rPr>
          <w:sz w:val="21"/>
          <w:u w:val="single"/>
        </w:rPr>
        <w:t xml:space="preserve"> </w:t>
      </w:r>
      <w:r>
        <w:rPr>
          <w:spacing w:val="100"/>
          <w:sz w:val="21"/>
        </w:rPr>
        <w:t xml:space="preserve"> </w:t>
      </w:r>
      <w:r>
        <w:rPr>
          <w:sz w:val="21"/>
        </w:rPr>
        <w:t>m；隧道</w:t>
      </w:r>
      <w:r>
        <w:rPr>
          <w:sz w:val="21"/>
          <w:u w:val="single"/>
        </w:rPr>
        <w:t xml:space="preserve"> </w:t>
      </w:r>
      <w:r>
        <w:rPr>
          <w:spacing w:val="19"/>
          <w:sz w:val="21"/>
        </w:rPr>
        <w:t xml:space="preserve"> 座，计长</w:t>
      </w:r>
      <w:r>
        <w:rPr>
          <w:sz w:val="21"/>
          <w:u w:val="single"/>
        </w:rPr>
        <w:t xml:space="preserve">  </w:t>
      </w:r>
      <w:r>
        <w:rPr>
          <w:spacing w:val="100"/>
          <w:sz w:val="21"/>
        </w:rPr>
        <w:t xml:space="preserve"> </w:t>
      </w:r>
      <w:r>
        <w:rPr>
          <w:sz w:val="21"/>
        </w:rPr>
        <w:t>m 以及其他构造物工程等。</w:t>
      </w:r>
    </w:p>
    <w:p>
      <w:pPr>
        <w:pStyle w:val="10"/>
        <w:numPr>
          <w:ilvl w:val="1"/>
          <w:numId w:val="104"/>
        </w:numPr>
        <w:tabs>
          <w:tab w:val="left" w:pos="1276"/>
        </w:tabs>
        <w:spacing w:before="0" w:after="0" w:line="269" w:lineRule="exact"/>
        <w:ind w:left="1275" w:right="0" w:hanging="316"/>
        <w:jc w:val="both"/>
        <w:rPr>
          <w:sz w:val="21"/>
        </w:rPr>
      </w:pPr>
      <w:r>
        <w:rPr>
          <w:sz w:val="21"/>
        </w:rPr>
        <w:t>下列文件应视为构成合同文件的组成部分：</w:t>
      </w:r>
    </w:p>
    <w:p>
      <w:pPr>
        <w:pStyle w:val="10"/>
        <w:numPr>
          <w:ilvl w:val="0"/>
          <w:numId w:val="105"/>
        </w:numPr>
        <w:tabs>
          <w:tab w:val="left" w:pos="1486"/>
        </w:tabs>
        <w:spacing w:before="138" w:after="0" w:line="240" w:lineRule="auto"/>
        <w:ind w:left="1485" w:right="0" w:hanging="526"/>
        <w:jc w:val="left"/>
        <w:rPr>
          <w:sz w:val="21"/>
        </w:rPr>
      </w:pPr>
      <w:r>
        <w:rPr>
          <w:sz w:val="21"/>
        </w:rPr>
        <w:t>本协议书及各种合同附件（含评标期间和合同谈判过程中的澄清文件和补充资料）；</w:t>
      </w:r>
    </w:p>
    <w:p>
      <w:pPr>
        <w:pStyle w:val="10"/>
        <w:numPr>
          <w:ilvl w:val="0"/>
          <w:numId w:val="105"/>
        </w:numPr>
        <w:tabs>
          <w:tab w:val="left" w:pos="1486"/>
        </w:tabs>
        <w:spacing w:before="139" w:after="0" w:line="240" w:lineRule="auto"/>
        <w:ind w:left="1485" w:right="0" w:hanging="526"/>
        <w:jc w:val="left"/>
        <w:rPr>
          <w:sz w:val="21"/>
        </w:rPr>
      </w:pPr>
      <w:r>
        <w:rPr>
          <w:sz w:val="21"/>
        </w:rPr>
        <w:t>中标通知书；</w:t>
      </w:r>
    </w:p>
    <w:p>
      <w:pPr>
        <w:pStyle w:val="10"/>
        <w:numPr>
          <w:ilvl w:val="0"/>
          <w:numId w:val="105"/>
        </w:numPr>
        <w:tabs>
          <w:tab w:val="left" w:pos="1486"/>
        </w:tabs>
        <w:spacing w:before="141" w:after="0" w:line="240" w:lineRule="auto"/>
        <w:ind w:left="1485" w:right="0" w:hanging="526"/>
        <w:jc w:val="left"/>
        <w:rPr>
          <w:sz w:val="21"/>
        </w:rPr>
      </w:pPr>
      <w:r>
        <w:rPr>
          <w:sz w:val="21"/>
        </w:rPr>
        <w:t>补遗书；投标函及投标函附录；</w:t>
      </w:r>
    </w:p>
    <w:p>
      <w:pPr>
        <w:pStyle w:val="10"/>
        <w:numPr>
          <w:ilvl w:val="0"/>
          <w:numId w:val="105"/>
        </w:numPr>
        <w:tabs>
          <w:tab w:val="left" w:pos="1486"/>
        </w:tabs>
        <w:spacing w:before="139" w:after="0" w:line="240" w:lineRule="auto"/>
        <w:ind w:left="1485" w:right="0" w:hanging="526"/>
        <w:jc w:val="left"/>
        <w:rPr>
          <w:sz w:val="21"/>
        </w:rPr>
      </w:pPr>
      <w:r>
        <w:rPr>
          <w:sz w:val="21"/>
        </w:rPr>
        <w:t>项目专用合同条款；</w:t>
      </w:r>
    </w:p>
    <w:p>
      <w:pPr>
        <w:pStyle w:val="10"/>
        <w:numPr>
          <w:ilvl w:val="0"/>
          <w:numId w:val="105"/>
        </w:numPr>
        <w:tabs>
          <w:tab w:val="left" w:pos="1486"/>
        </w:tabs>
        <w:spacing w:before="139" w:after="0" w:line="240" w:lineRule="auto"/>
        <w:ind w:left="1485" w:right="0" w:hanging="526"/>
        <w:jc w:val="left"/>
        <w:rPr>
          <w:sz w:val="21"/>
        </w:rPr>
      </w:pPr>
      <w:r>
        <w:rPr>
          <w:sz w:val="21"/>
        </w:rPr>
        <w:t>公路工程专用合同条款；</w:t>
      </w:r>
    </w:p>
    <w:p>
      <w:pPr>
        <w:pStyle w:val="10"/>
        <w:numPr>
          <w:ilvl w:val="0"/>
          <w:numId w:val="105"/>
        </w:numPr>
        <w:tabs>
          <w:tab w:val="left" w:pos="1486"/>
        </w:tabs>
        <w:spacing w:before="139" w:after="0" w:line="240" w:lineRule="auto"/>
        <w:ind w:left="1485" w:right="0" w:hanging="526"/>
        <w:jc w:val="left"/>
        <w:rPr>
          <w:sz w:val="21"/>
        </w:rPr>
      </w:pPr>
      <w:r>
        <w:rPr>
          <w:sz w:val="21"/>
        </w:rPr>
        <w:t>通用合同条款；</w:t>
      </w:r>
    </w:p>
    <w:p>
      <w:pPr>
        <w:pStyle w:val="10"/>
        <w:numPr>
          <w:ilvl w:val="0"/>
          <w:numId w:val="105"/>
        </w:numPr>
        <w:tabs>
          <w:tab w:val="left" w:pos="1486"/>
        </w:tabs>
        <w:spacing w:before="139" w:after="0" w:line="240" w:lineRule="auto"/>
        <w:ind w:left="1485" w:right="0" w:hanging="526"/>
        <w:jc w:val="left"/>
        <w:rPr>
          <w:sz w:val="21"/>
        </w:rPr>
      </w:pPr>
      <w:r>
        <w:rPr>
          <w:sz w:val="21"/>
        </w:rPr>
        <w:t>工程量清单计价规则；</w:t>
      </w:r>
    </w:p>
    <w:p>
      <w:pPr>
        <w:pStyle w:val="10"/>
        <w:numPr>
          <w:ilvl w:val="0"/>
          <w:numId w:val="105"/>
        </w:numPr>
        <w:tabs>
          <w:tab w:val="left" w:pos="1486"/>
        </w:tabs>
        <w:spacing w:before="139" w:after="0" w:line="240" w:lineRule="auto"/>
        <w:ind w:left="1485" w:right="0" w:hanging="526"/>
        <w:jc w:val="left"/>
        <w:rPr>
          <w:sz w:val="21"/>
        </w:rPr>
      </w:pPr>
      <w:r>
        <w:rPr>
          <w:sz w:val="21"/>
        </w:rPr>
        <w:t>技术规范；</w:t>
      </w:r>
    </w:p>
    <w:p>
      <w:pPr>
        <w:pStyle w:val="10"/>
        <w:numPr>
          <w:ilvl w:val="0"/>
          <w:numId w:val="105"/>
        </w:numPr>
        <w:tabs>
          <w:tab w:val="left" w:pos="1486"/>
        </w:tabs>
        <w:spacing w:before="141" w:after="0" w:line="240" w:lineRule="auto"/>
        <w:ind w:left="1485" w:right="0" w:hanging="526"/>
        <w:jc w:val="left"/>
        <w:rPr>
          <w:sz w:val="21"/>
        </w:rPr>
      </w:pPr>
      <w:r>
        <w:rPr>
          <w:sz w:val="21"/>
        </w:rPr>
        <w:t>图纸；</w:t>
      </w:r>
    </w:p>
    <w:p>
      <w:pPr>
        <w:pStyle w:val="10"/>
        <w:numPr>
          <w:ilvl w:val="0"/>
          <w:numId w:val="105"/>
        </w:numPr>
        <w:tabs>
          <w:tab w:val="left" w:pos="1591"/>
        </w:tabs>
        <w:spacing w:before="139" w:after="0" w:line="240" w:lineRule="auto"/>
        <w:ind w:left="1590" w:right="0" w:hanging="631"/>
        <w:jc w:val="left"/>
        <w:rPr>
          <w:sz w:val="21"/>
        </w:rPr>
      </w:pPr>
      <w:r>
        <w:rPr>
          <w:sz w:val="21"/>
        </w:rPr>
        <w:t>已标价工程量清单；</w:t>
      </w:r>
    </w:p>
    <w:p>
      <w:pPr>
        <w:pStyle w:val="10"/>
        <w:numPr>
          <w:ilvl w:val="0"/>
          <w:numId w:val="105"/>
        </w:numPr>
        <w:tabs>
          <w:tab w:val="left" w:pos="1591"/>
        </w:tabs>
        <w:spacing w:before="139" w:after="0" w:line="240" w:lineRule="auto"/>
        <w:ind w:left="1590" w:right="0" w:hanging="631"/>
        <w:jc w:val="left"/>
        <w:rPr>
          <w:sz w:val="21"/>
        </w:rPr>
      </w:pPr>
      <w:r>
        <w:rPr>
          <w:sz w:val="21"/>
        </w:rPr>
        <w:t>承包人有关人员、设备投入的承诺及投标文件中的施工组织设计；</w:t>
      </w:r>
    </w:p>
    <w:p>
      <w:pPr>
        <w:pStyle w:val="10"/>
        <w:numPr>
          <w:ilvl w:val="0"/>
          <w:numId w:val="105"/>
        </w:numPr>
        <w:tabs>
          <w:tab w:val="left" w:pos="1591"/>
        </w:tabs>
        <w:spacing w:before="139" w:after="0" w:line="240" w:lineRule="auto"/>
        <w:ind w:left="1590" w:right="0" w:hanging="631"/>
        <w:jc w:val="left"/>
        <w:rPr>
          <w:sz w:val="21"/>
        </w:rPr>
      </w:pPr>
      <w:r>
        <w:rPr>
          <w:sz w:val="21"/>
        </w:rPr>
        <w:t>其他合同文件。</w:t>
      </w:r>
    </w:p>
    <w:p>
      <w:pPr>
        <w:spacing w:before="141" w:line="364" w:lineRule="auto"/>
        <w:ind w:left="540" w:right="639" w:firstLine="525"/>
        <w:jc w:val="left"/>
        <w:rPr>
          <w:sz w:val="21"/>
        </w:rPr>
      </w:pPr>
      <w:r>
        <w:rPr>
          <w:sz w:val="21"/>
        </w:rPr>
        <w:t>上述合同文件互相补充和解释，如果合同文件之间存在矛盾或不一致之处，以上述文件的排列顺序在先者为准。</w:t>
      </w:r>
    </w:p>
    <w:p>
      <w:pPr>
        <w:tabs>
          <w:tab w:val="left" w:pos="4171"/>
          <w:tab w:val="left" w:pos="5537"/>
        </w:tabs>
        <w:spacing w:before="0" w:line="364" w:lineRule="auto"/>
        <w:ind w:left="1860" w:right="2686" w:hanging="840"/>
        <w:jc w:val="left"/>
        <w:rPr>
          <w:sz w:val="21"/>
        </w:rPr>
      </w:pPr>
      <w:r>
        <w:rPr>
          <w:sz w:val="21"/>
        </w:rPr>
        <w:t>2.</w:t>
      </w:r>
      <w:r>
        <w:rPr>
          <w:spacing w:val="29"/>
          <w:sz w:val="21"/>
        </w:rPr>
        <w:t xml:space="preserve"> </w:t>
      </w:r>
      <w:r>
        <w:rPr>
          <w:sz w:val="21"/>
        </w:rPr>
        <w:t>根据工程量清单所列的预计数量和单价或总额价计算的签约合同价： 人民币（大写）</w:t>
      </w:r>
      <w:r>
        <w:rPr>
          <w:sz w:val="21"/>
          <w:u w:val="single"/>
        </w:rPr>
        <w:t xml:space="preserve"> </w:t>
      </w:r>
      <w:r>
        <w:rPr>
          <w:sz w:val="21"/>
          <w:u w:val="single"/>
        </w:rPr>
        <w:tab/>
      </w:r>
      <w:r>
        <w:rPr>
          <w:sz w:val="21"/>
        </w:rPr>
        <w:t>元（¥</w:t>
      </w:r>
      <w:r>
        <w:rPr>
          <w:sz w:val="21"/>
          <w:u w:val="single"/>
        </w:rPr>
        <w:t xml:space="preserve"> </w:t>
      </w:r>
      <w:r>
        <w:rPr>
          <w:sz w:val="21"/>
          <w:u w:val="single"/>
        </w:rPr>
        <w:tab/>
      </w:r>
      <w:r>
        <w:rPr>
          <w:sz w:val="21"/>
        </w:rPr>
        <w:t>）。</w:t>
      </w:r>
    </w:p>
    <w:p>
      <w:pPr>
        <w:pStyle w:val="10"/>
        <w:numPr>
          <w:ilvl w:val="0"/>
          <w:numId w:val="106"/>
        </w:numPr>
        <w:tabs>
          <w:tab w:val="left" w:pos="1276"/>
          <w:tab w:val="left" w:pos="3795"/>
          <w:tab w:val="left" w:pos="6631"/>
        </w:tabs>
        <w:spacing w:before="0" w:after="0" w:line="267" w:lineRule="exact"/>
        <w:ind w:left="1275" w:right="0" w:hanging="316"/>
        <w:jc w:val="left"/>
        <w:rPr>
          <w:sz w:val="21"/>
        </w:rPr>
      </w:pPr>
      <w:r>
        <w:rPr>
          <w:sz w:val="21"/>
        </w:rPr>
        <w:t>承包人项目经理：</w:t>
      </w:r>
      <w:r>
        <w:rPr>
          <w:sz w:val="21"/>
          <w:u w:val="single"/>
        </w:rPr>
        <w:t xml:space="preserve"> </w:t>
      </w:r>
      <w:r>
        <w:rPr>
          <w:sz w:val="21"/>
          <w:u w:val="single"/>
        </w:rPr>
        <w:tab/>
      </w:r>
      <w:r>
        <w:rPr>
          <w:sz w:val="21"/>
        </w:rPr>
        <w:t>。承包人项目总工：</w:t>
      </w:r>
      <w:r>
        <w:rPr>
          <w:sz w:val="21"/>
          <w:u w:val="single"/>
        </w:rPr>
        <w:t xml:space="preserve"> </w:t>
      </w:r>
      <w:r>
        <w:rPr>
          <w:sz w:val="21"/>
          <w:u w:val="single"/>
        </w:rPr>
        <w:tab/>
      </w:r>
      <w:r>
        <w:rPr>
          <w:sz w:val="21"/>
        </w:rPr>
        <w:t>。</w:t>
      </w:r>
    </w:p>
    <w:p>
      <w:pPr>
        <w:pStyle w:val="10"/>
        <w:numPr>
          <w:ilvl w:val="0"/>
          <w:numId w:val="106"/>
        </w:numPr>
        <w:tabs>
          <w:tab w:val="left" w:pos="1276"/>
          <w:tab w:val="left" w:pos="3375"/>
        </w:tabs>
        <w:spacing w:before="137" w:after="0" w:line="240" w:lineRule="auto"/>
        <w:ind w:left="1275" w:right="0" w:hanging="316"/>
        <w:jc w:val="left"/>
        <w:rPr>
          <w:sz w:val="21"/>
        </w:rPr>
      </w:pPr>
      <w:r>
        <w:rPr>
          <w:sz w:val="21"/>
        </w:rPr>
        <w:t>工程质量符合</w:t>
      </w:r>
      <w:r>
        <w:rPr>
          <w:sz w:val="21"/>
          <w:u w:val="single"/>
        </w:rPr>
        <w:t xml:space="preserve"> </w:t>
      </w:r>
      <w:r>
        <w:rPr>
          <w:sz w:val="21"/>
          <w:u w:val="single"/>
        </w:rPr>
        <w:tab/>
      </w:r>
      <w:r>
        <w:rPr>
          <w:sz w:val="21"/>
        </w:rPr>
        <w:t>标准。工程安全目标：</w:t>
      </w:r>
    </w:p>
    <w:p>
      <w:pPr>
        <w:pStyle w:val="10"/>
        <w:numPr>
          <w:ilvl w:val="0"/>
          <w:numId w:val="106"/>
        </w:numPr>
        <w:tabs>
          <w:tab w:val="left" w:pos="1276"/>
        </w:tabs>
        <w:spacing w:before="142" w:after="0" w:line="240" w:lineRule="auto"/>
        <w:ind w:left="1275" w:right="0" w:hanging="316"/>
        <w:jc w:val="left"/>
        <w:rPr>
          <w:sz w:val="21"/>
        </w:rPr>
      </w:pPr>
      <w:r>
        <w:rPr>
          <w:sz w:val="21"/>
        </w:rPr>
        <w:t>承包人承诺按合同约定承担工程的实施、完成及缺陷修复。</w:t>
      </w:r>
    </w:p>
    <w:p>
      <w:pPr>
        <w:spacing w:after="0" w:line="240" w:lineRule="auto"/>
        <w:jc w:val="left"/>
        <w:rPr>
          <w:sz w:val="21"/>
        </w:rPr>
        <w:sectPr>
          <w:pgSz w:w="11910" w:h="16840"/>
          <w:pgMar w:top="1380" w:right="720" w:bottom="1080" w:left="820" w:header="746" w:footer="891" w:gutter="0"/>
          <w:cols w:space="720" w:num="1"/>
        </w:sectPr>
      </w:pPr>
    </w:p>
    <w:p>
      <w:pPr>
        <w:pStyle w:val="10"/>
        <w:numPr>
          <w:ilvl w:val="0"/>
          <w:numId w:val="106"/>
        </w:numPr>
        <w:tabs>
          <w:tab w:val="left" w:pos="1276"/>
        </w:tabs>
        <w:spacing w:before="59" w:after="0" w:line="240" w:lineRule="auto"/>
        <w:ind w:left="1275" w:right="0" w:hanging="316"/>
        <w:jc w:val="left"/>
        <w:rPr>
          <w:sz w:val="21"/>
        </w:rPr>
      </w:pPr>
      <w:r>
        <w:rPr>
          <w:sz w:val="21"/>
        </w:rPr>
        <w:t>发包人承诺按合同约定的条件、时间和方式向承包人支付合同价款。</w:t>
      </w:r>
    </w:p>
    <w:p>
      <w:pPr>
        <w:pStyle w:val="10"/>
        <w:numPr>
          <w:ilvl w:val="0"/>
          <w:numId w:val="106"/>
        </w:numPr>
        <w:tabs>
          <w:tab w:val="left" w:pos="1276"/>
          <w:tab w:val="left" w:pos="5475"/>
        </w:tabs>
        <w:spacing w:before="139" w:after="0" w:line="240" w:lineRule="auto"/>
        <w:ind w:left="1275" w:right="0" w:hanging="316"/>
        <w:jc w:val="left"/>
        <w:rPr>
          <w:sz w:val="21"/>
        </w:rPr>
      </w:pPr>
      <w:r>
        <w:rPr>
          <w:sz w:val="21"/>
        </w:rPr>
        <w:t>承包人应按照监理人指示开工，工期为</w:t>
      </w:r>
      <w:r>
        <w:rPr>
          <w:sz w:val="21"/>
          <w:u w:val="single"/>
        </w:rPr>
        <w:t xml:space="preserve"> </w:t>
      </w:r>
      <w:r>
        <w:rPr>
          <w:sz w:val="21"/>
          <w:u w:val="single"/>
        </w:rPr>
        <w:tab/>
      </w:r>
      <w:r>
        <w:rPr>
          <w:sz w:val="21"/>
        </w:rPr>
        <w:t>日历天。</w:t>
      </w:r>
    </w:p>
    <w:p>
      <w:pPr>
        <w:pStyle w:val="10"/>
        <w:numPr>
          <w:ilvl w:val="0"/>
          <w:numId w:val="106"/>
        </w:numPr>
        <w:tabs>
          <w:tab w:val="left" w:pos="1278"/>
        </w:tabs>
        <w:spacing w:before="142" w:after="0" w:line="364" w:lineRule="auto"/>
        <w:ind w:left="540" w:right="639" w:firstLine="420"/>
        <w:jc w:val="left"/>
        <w:rPr>
          <w:sz w:val="21"/>
        </w:rPr>
      </w:pPr>
      <w:r>
        <w:rPr>
          <w:sz w:val="21"/>
        </w:rPr>
        <w:t>本协议书在承包人提供履约担保后，由双方法定代表人或其委托代理人签署并加盖单位章后生效。全部工程完工后经竣交工验收合格、缺陷责任期满签发缺陷责任终止证书后生效。</w:t>
      </w:r>
    </w:p>
    <w:p>
      <w:pPr>
        <w:pStyle w:val="10"/>
        <w:numPr>
          <w:ilvl w:val="0"/>
          <w:numId w:val="106"/>
        </w:numPr>
        <w:tabs>
          <w:tab w:val="left" w:pos="1382"/>
          <w:tab w:val="left" w:pos="3984"/>
          <w:tab w:val="left" w:pos="7426"/>
        </w:tabs>
        <w:spacing w:before="0" w:after="0" w:line="364" w:lineRule="auto"/>
        <w:ind w:left="540" w:right="639" w:firstLine="420"/>
        <w:jc w:val="left"/>
        <w:rPr>
          <w:sz w:val="21"/>
        </w:rPr>
      </w:pPr>
      <w:r>
        <w:rPr>
          <w:sz w:val="21"/>
        </w:rPr>
        <w:t>本协议书正本二份</w:t>
      </w:r>
      <w:r>
        <w:rPr>
          <w:spacing w:val="-10"/>
          <w:sz w:val="21"/>
        </w:rPr>
        <w:t>、</w:t>
      </w:r>
      <w:r>
        <w:rPr>
          <w:sz w:val="21"/>
        </w:rPr>
        <w:t>副本</w:t>
      </w:r>
      <w:r>
        <w:rPr>
          <w:sz w:val="21"/>
          <w:u w:val="single"/>
        </w:rPr>
        <w:t xml:space="preserve"> </w:t>
      </w:r>
      <w:r>
        <w:rPr>
          <w:sz w:val="21"/>
          <w:u w:val="single"/>
        </w:rPr>
        <w:tab/>
      </w:r>
      <w:r>
        <w:rPr>
          <w:sz w:val="21"/>
        </w:rPr>
        <w:t>份</w:t>
      </w:r>
      <w:r>
        <w:rPr>
          <w:spacing w:val="-10"/>
          <w:sz w:val="21"/>
        </w:rPr>
        <w:t>，</w:t>
      </w:r>
      <w:r>
        <w:rPr>
          <w:sz w:val="21"/>
        </w:rPr>
        <w:t>合同双方各执正本一份</w:t>
      </w:r>
      <w:r>
        <w:rPr>
          <w:spacing w:val="-10"/>
          <w:sz w:val="21"/>
        </w:rPr>
        <w:t>，</w:t>
      </w:r>
      <w:r>
        <w:rPr>
          <w:sz w:val="21"/>
        </w:rPr>
        <w:t>副本</w:t>
      </w:r>
      <w:r>
        <w:rPr>
          <w:sz w:val="21"/>
          <w:u w:val="single"/>
        </w:rPr>
        <w:t xml:space="preserve"> </w:t>
      </w:r>
      <w:r>
        <w:rPr>
          <w:sz w:val="21"/>
          <w:u w:val="single"/>
        </w:rPr>
        <w:tab/>
      </w:r>
      <w:r>
        <w:rPr>
          <w:sz w:val="21"/>
        </w:rPr>
        <w:t>份</w:t>
      </w:r>
      <w:r>
        <w:rPr>
          <w:spacing w:val="-10"/>
          <w:sz w:val="21"/>
        </w:rPr>
        <w:t>，</w:t>
      </w:r>
      <w:r>
        <w:rPr>
          <w:sz w:val="21"/>
        </w:rPr>
        <w:t>当正本与副本的内</w:t>
      </w:r>
      <w:r>
        <w:rPr>
          <w:spacing w:val="-13"/>
          <w:sz w:val="21"/>
        </w:rPr>
        <w:t>容</w:t>
      </w:r>
      <w:r>
        <w:rPr>
          <w:sz w:val="21"/>
        </w:rPr>
        <w:t>不一致时，以正本为准。</w:t>
      </w:r>
    </w:p>
    <w:p>
      <w:pPr>
        <w:pStyle w:val="10"/>
        <w:numPr>
          <w:ilvl w:val="0"/>
          <w:numId w:val="106"/>
        </w:numPr>
        <w:tabs>
          <w:tab w:val="left" w:pos="1278"/>
        </w:tabs>
        <w:spacing w:before="0" w:after="0" w:line="240" w:lineRule="auto"/>
        <w:ind w:left="1277" w:right="0" w:hanging="318"/>
        <w:jc w:val="left"/>
        <w:rPr>
          <w:sz w:val="21"/>
        </w:rPr>
      </w:pPr>
      <w:r>
        <w:rPr>
          <w:sz w:val="21"/>
        </w:rPr>
        <w:t>合同未尽事宜，双方另行签订补充协议。补充协议是合同的组成部分。</w:t>
      </w:r>
    </w:p>
    <w:p>
      <w:pPr>
        <w:pStyle w:val="5"/>
        <w:ind w:left="0"/>
        <w:rPr>
          <w:sz w:val="20"/>
        </w:rPr>
      </w:pPr>
    </w:p>
    <w:p>
      <w:pPr>
        <w:pStyle w:val="5"/>
        <w:ind w:left="0"/>
        <w:rPr>
          <w:sz w:val="20"/>
        </w:rPr>
      </w:pPr>
    </w:p>
    <w:p>
      <w:pPr>
        <w:pStyle w:val="5"/>
        <w:ind w:left="0"/>
        <w:rPr>
          <w:sz w:val="20"/>
        </w:rPr>
      </w:pPr>
    </w:p>
    <w:p>
      <w:pPr>
        <w:pStyle w:val="5"/>
        <w:spacing w:before="5"/>
        <w:ind w:left="0"/>
        <w:rPr>
          <w:sz w:val="14"/>
        </w:rPr>
      </w:pPr>
    </w:p>
    <w:p>
      <w:pPr>
        <w:tabs>
          <w:tab w:val="left" w:pos="3060"/>
          <w:tab w:val="left" w:pos="3795"/>
          <w:tab w:val="left" w:pos="4846"/>
          <w:tab w:val="left" w:pos="4951"/>
          <w:tab w:val="left" w:pos="7471"/>
          <w:tab w:val="left" w:pos="8100"/>
        </w:tabs>
        <w:spacing w:before="0" w:line="367" w:lineRule="auto"/>
        <w:ind w:left="540" w:right="1426" w:firstLine="0"/>
        <w:jc w:val="left"/>
        <w:rPr>
          <w:sz w:val="21"/>
        </w:rPr>
      </w:pPr>
      <w:r>
        <w:rPr>
          <w:sz w:val="21"/>
        </w:rPr>
        <w:t>发包人：</w:t>
      </w:r>
      <w:r>
        <w:rPr>
          <w:sz w:val="21"/>
          <w:u w:val="single"/>
        </w:rPr>
        <w:t xml:space="preserve"> </w:t>
      </w:r>
      <w:r>
        <w:rPr>
          <w:sz w:val="21"/>
          <w:u w:val="single"/>
        </w:rPr>
        <w:tab/>
      </w:r>
      <w:r>
        <w:rPr>
          <w:sz w:val="21"/>
        </w:rPr>
        <w:t>（盖单位章）</w:t>
      </w:r>
      <w:r>
        <w:rPr>
          <w:sz w:val="21"/>
        </w:rPr>
        <w:tab/>
      </w:r>
      <w:r>
        <w:rPr>
          <w:sz w:val="21"/>
        </w:rPr>
        <w:tab/>
      </w:r>
      <w:r>
        <w:rPr>
          <w:sz w:val="21"/>
        </w:rPr>
        <w:t>承包人：</w:t>
      </w:r>
      <w:r>
        <w:rPr>
          <w:sz w:val="21"/>
          <w:u w:val="single"/>
        </w:rPr>
        <w:t xml:space="preserve"> </w:t>
      </w:r>
      <w:r>
        <w:rPr>
          <w:sz w:val="21"/>
          <w:u w:val="single"/>
        </w:rPr>
        <w:tab/>
      </w:r>
      <w:r>
        <w:rPr>
          <w:sz w:val="21"/>
        </w:rPr>
        <w:t>（盖单位章） 法定代表人或其委托代理人：</w:t>
      </w:r>
      <w:r>
        <w:rPr>
          <w:sz w:val="21"/>
          <w:u w:val="single"/>
        </w:rPr>
        <w:t xml:space="preserve"> </w:t>
      </w:r>
      <w:r>
        <w:rPr>
          <w:sz w:val="21"/>
          <w:u w:val="single"/>
        </w:rPr>
        <w:tab/>
      </w:r>
      <w:r>
        <w:rPr>
          <w:sz w:val="21"/>
        </w:rPr>
        <w:t>（签字）</w:t>
      </w:r>
      <w:r>
        <w:rPr>
          <w:sz w:val="21"/>
        </w:rPr>
        <w:tab/>
      </w:r>
      <w:r>
        <w:rPr>
          <w:sz w:val="21"/>
        </w:rPr>
        <w:t>法定代表人或其委托代理人：</w:t>
      </w:r>
      <w:r>
        <w:rPr>
          <w:sz w:val="21"/>
          <w:u w:val="single"/>
        </w:rPr>
        <w:t xml:space="preserve"> </w:t>
      </w:r>
      <w:r>
        <w:rPr>
          <w:sz w:val="21"/>
          <w:u w:val="single"/>
        </w:rPr>
        <w:tab/>
      </w:r>
      <w:r>
        <w:rPr>
          <w:sz w:val="21"/>
        </w:rPr>
        <w:t>（签字</w:t>
      </w:r>
      <w:r>
        <w:rPr>
          <w:spacing w:val="-15"/>
          <w:sz w:val="21"/>
        </w:rPr>
        <w:t>）</w:t>
      </w:r>
    </w:p>
    <w:p>
      <w:pPr>
        <w:tabs>
          <w:tab w:val="left" w:pos="631"/>
          <w:tab w:val="left" w:pos="1260"/>
          <w:tab w:val="left" w:pos="1891"/>
          <w:tab w:val="left" w:pos="4516"/>
          <w:tab w:val="left" w:pos="5145"/>
          <w:tab w:val="left" w:pos="5776"/>
          <w:tab w:val="left" w:pos="6405"/>
        </w:tabs>
        <w:spacing w:before="0" w:line="264" w:lineRule="exact"/>
        <w:ind w:left="0" w:right="360" w:firstLine="0"/>
        <w:jc w:val="center"/>
        <w:rPr>
          <w:sz w:val="21"/>
        </w:rPr>
      </w:pPr>
      <w:r>
        <w:rPr>
          <w:rFonts w:ascii="Times New Roman" w:eastAsia="Times New Roman"/>
          <w:w w:val="99"/>
          <w:sz w:val="21"/>
          <w:u w:val="single"/>
        </w:rPr>
        <w:t xml:space="preserve"> </w:t>
      </w:r>
      <w:r>
        <w:rPr>
          <w:rFonts w:ascii="Times New Roman" w:eastAsia="Times New Roman"/>
          <w:sz w:val="21"/>
          <w:u w:val="single"/>
        </w:rPr>
        <w:tab/>
      </w:r>
      <w:r>
        <w:rPr>
          <w:sz w:val="21"/>
        </w:rPr>
        <w:t>年</w:t>
      </w:r>
      <w:r>
        <w:rPr>
          <w:sz w:val="21"/>
          <w:u w:val="single"/>
        </w:rPr>
        <w:t xml:space="preserve"> </w:t>
      </w:r>
      <w:r>
        <w:rPr>
          <w:sz w:val="21"/>
          <w:u w:val="single"/>
        </w:rPr>
        <w:tab/>
      </w:r>
      <w:r>
        <w:rPr>
          <w:sz w:val="21"/>
        </w:rPr>
        <w:t>月</w:t>
      </w:r>
      <w:r>
        <w:rPr>
          <w:sz w:val="21"/>
          <w:u w:val="single"/>
        </w:rPr>
        <w:t xml:space="preserve"> </w:t>
      </w:r>
      <w:r>
        <w:rPr>
          <w:sz w:val="21"/>
          <w:u w:val="single"/>
        </w:rPr>
        <w:tab/>
      </w:r>
      <w:r>
        <w:rPr>
          <w:sz w:val="21"/>
        </w:rPr>
        <w:t>日</w:t>
      </w:r>
      <w:r>
        <w:rPr>
          <w:sz w:val="21"/>
        </w:rPr>
        <w:tab/>
      </w:r>
      <w:r>
        <w:rPr>
          <w:sz w:val="21"/>
          <w:u w:val="single"/>
        </w:rPr>
        <w:t xml:space="preserve"> </w:t>
      </w:r>
      <w:r>
        <w:rPr>
          <w:sz w:val="21"/>
          <w:u w:val="single"/>
        </w:rPr>
        <w:tab/>
      </w:r>
      <w:r>
        <w:rPr>
          <w:sz w:val="21"/>
        </w:rPr>
        <w:t>年</w:t>
      </w:r>
      <w:r>
        <w:rPr>
          <w:sz w:val="21"/>
          <w:u w:val="single"/>
        </w:rPr>
        <w:t xml:space="preserve"> </w:t>
      </w:r>
      <w:r>
        <w:rPr>
          <w:sz w:val="21"/>
          <w:u w:val="single"/>
        </w:rPr>
        <w:tab/>
      </w:r>
      <w:r>
        <w:rPr>
          <w:sz w:val="21"/>
        </w:rPr>
        <w:t>月</w:t>
      </w:r>
      <w:r>
        <w:rPr>
          <w:sz w:val="21"/>
          <w:u w:val="single"/>
        </w:rPr>
        <w:t xml:space="preserve"> </w:t>
      </w:r>
      <w:r>
        <w:rPr>
          <w:sz w:val="21"/>
          <w:u w:val="single"/>
        </w:rPr>
        <w:tab/>
      </w:r>
      <w:r>
        <w:rPr>
          <w:sz w:val="21"/>
        </w:rPr>
        <w:t>日</w:t>
      </w:r>
    </w:p>
    <w:p>
      <w:pPr>
        <w:spacing w:after="0" w:line="264" w:lineRule="exact"/>
        <w:jc w:val="center"/>
        <w:rPr>
          <w:sz w:val="21"/>
        </w:rPr>
        <w:sectPr>
          <w:pgSz w:w="11910" w:h="16840"/>
          <w:pgMar w:top="1380" w:right="720" w:bottom="1080" w:left="820" w:header="746" w:footer="891" w:gutter="0"/>
          <w:cols w:space="720" w:num="1"/>
        </w:sectPr>
      </w:pPr>
    </w:p>
    <w:p>
      <w:pPr>
        <w:pStyle w:val="5"/>
        <w:ind w:left="0"/>
        <w:rPr>
          <w:sz w:val="20"/>
        </w:rPr>
      </w:pPr>
    </w:p>
    <w:p>
      <w:pPr>
        <w:pStyle w:val="5"/>
        <w:spacing w:before="1"/>
        <w:ind w:left="0"/>
        <w:rPr>
          <w:sz w:val="16"/>
        </w:rPr>
      </w:pPr>
    </w:p>
    <w:p>
      <w:pPr>
        <w:pStyle w:val="4"/>
        <w:tabs>
          <w:tab w:val="left" w:pos="1625"/>
        </w:tabs>
        <w:spacing w:before="66"/>
      </w:pPr>
      <w:bookmarkStart w:id="115" w:name="附件二   廉政合同"/>
      <w:bookmarkEnd w:id="115"/>
      <w:r>
        <w:t>附件二</w:t>
      </w:r>
      <w:r>
        <w:tab/>
      </w:r>
      <w:r>
        <w:t>廉政合同</w:t>
      </w:r>
    </w:p>
    <w:p>
      <w:pPr>
        <w:pStyle w:val="5"/>
        <w:spacing w:before="7"/>
        <w:ind w:left="0"/>
        <w:rPr>
          <w:b/>
          <w:sz w:val="16"/>
        </w:rPr>
      </w:pPr>
    </w:p>
    <w:p>
      <w:pPr>
        <w:pStyle w:val="4"/>
        <w:spacing w:before="66"/>
        <w:ind w:left="262" w:right="360"/>
        <w:jc w:val="center"/>
      </w:pPr>
      <w:r>
        <w:t>廉政合同</w:t>
      </w:r>
    </w:p>
    <w:p>
      <w:pPr>
        <w:pStyle w:val="5"/>
        <w:spacing w:before="12"/>
        <w:ind w:left="0"/>
        <w:rPr>
          <w:b/>
          <w:sz w:val="21"/>
        </w:rPr>
      </w:pPr>
    </w:p>
    <w:p>
      <w:pPr>
        <w:pStyle w:val="5"/>
        <w:tabs>
          <w:tab w:val="left" w:pos="8518"/>
          <w:tab w:val="left" w:pos="9182"/>
        </w:tabs>
        <w:spacing w:line="364" w:lineRule="auto"/>
        <w:ind w:right="639" w:firstLine="480"/>
        <w:jc w:val="both"/>
      </w:pPr>
      <w:r>
        <w:t>根据《关于在交通基础设施建设中加强廉政建设的若干意见》以及有关工程建设、廉政建设的规定，为做好工程建设中的党风廉政建设，保证工程建设高效优质，保证建设资金的安全和有效使用以及投资效益，</w:t>
      </w:r>
      <w:r>
        <w:rPr>
          <w:u w:val="single"/>
        </w:rPr>
        <w:t xml:space="preserve">    </w:t>
      </w:r>
      <w:r>
        <w:rPr>
          <w:spacing w:val="33"/>
          <w:u w:val="single"/>
        </w:rPr>
        <w:t xml:space="preserve"> </w:t>
      </w:r>
      <w:r>
        <w:t>（项目名称）项目法人</w:t>
      </w:r>
      <w:r>
        <w:rPr>
          <w:u w:val="single"/>
        </w:rPr>
        <w:t xml:space="preserve"> </w:t>
      </w:r>
      <w:r>
        <w:rPr>
          <w:u w:val="single"/>
        </w:rPr>
        <w:tab/>
      </w:r>
      <w:r>
        <w:rPr>
          <w:u w:val="single"/>
        </w:rPr>
        <w:tab/>
      </w:r>
      <w:r>
        <w:t>（</w:t>
      </w:r>
      <w:r>
        <w:rPr>
          <w:spacing w:val="-16"/>
        </w:rPr>
        <w:t>项</w:t>
      </w:r>
      <w:r>
        <w:t>目法人名称，以下简称“发包人”）与该项目</w:t>
      </w:r>
      <w:r>
        <w:rPr>
          <w:u w:val="single"/>
        </w:rPr>
        <w:t xml:space="preserve">   </w:t>
      </w:r>
      <w:r>
        <w:rPr>
          <w:spacing w:val="30"/>
          <w:u w:val="single"/>
        </w:rPr>
        <w:t xml:space="preserve"> </w:t>
      </w:r>
      <w:r>
        <w:t>合同段的施工单位</w:t>
      </w:r>
      <w:r>
        <w:rPr>
          <w:u w:val="single"/>
        </w:rPr>
        <w:t xml:space="preserve"> </w:t>
      </w:r>
      <w:r>
        <w:rPr>
          <w:u w:val="single"/>
        </w:rPr>
        <w:tab/>
      </w:r>
      <w:r>
        <w:t>（施工单</w:t>
      </w:r>
      <w:r>
        <w:rPr>
          <w:spacing w:val="-16"/>
        </w:rPr>
        <w:t>位</w:t>
      </w:r>
      <w:r>
        <w:t>名称，以下简称“承包人”），特订立如下合同。</w:t>
      </w:r>
    </w:p>
    <w:p>
      <w:pPr>
        <w:pStyle w:val="10"/>
        <w:numPr>
          <w:ilvl w:val="0"/>
          <w:numId w:val="107"/>
        </w:numPr>
        <w:tabs>
          <w:tab w:val="left" w:pos="1382"/>
        </w:tabs>
        <w:spacing w:before="0" w:after="0" w:line="306" w:lineRule="exact"/>
        <w:ind w:left="1381" w:right="0" w:hanging="362"/>
        <w:jc w:val="left"/>
        <w:rPr>
          <w:sz w:val="24"/>
        </w:rPr>
      </w:pPr>
      <w:r>
        <w:rPr>
          <w:sz w:val="24"/>
        </w:rPr>
        <w:t>发包人和承包人双方的权利和义务</w:t>
      </w:r>
    </w:p>
    <w:p>
      <w:pPr>
        <w:pStyle w:val="10"/>
        <w:numPr>
          <w:ilvl w:val="0"/>
          <w:numId w:val="108"/>
        </w:numPr>
        <w:tabs>
          <w:tab w:val="left" w:pos="1622"/>
        </w:tabs>
        <w:spacing w:before="158" w:after="0" w:line="240" w:lineRule="auto"/>
        <w:ind w:left="1621" w:right="0" w:hanging="602"/>
        <w:jc w:val="left"/>
        <w:rPr>
          <w:sz w:val="24"/>
        </w:rPr>
      </w:pPr>
      <w:r>
        <w:rPr>
          <w:sz w:val="24"/>
        </w:rPr>
        <w:t>严格遵守党的政策规定和国家有关法律法规及交通运输部的有关规定。</w:t>
      </w:r>
    </w:p>
    <w:p>
      <w:pPr>
        <w:pStyle w:val="10"/>
        <w:numPr>
          <w:ilvl w:val="0"/>
          <w:numId w:val="108"/>
        </w:numPr>
        <w:tabs>
          <w:tab w:val="left" w:pos="1622"/>
          <w:tab w:val="left" w:pos="3180"/>
          <w:tab w:val="left" w:pos="5340"/>
        </w:tabs>
        <w:spacing w:before="158" w:after="0" w:line="240" w:lineRule="auto"/>
        <w:ind w:left="1621" w:right="0" w:hanging="602"/>
        <w:jc w:val="left"/>
        <w:rPr>
          <w:sz w:val="24"/>
        </w:rPr>
      </w:pPr>
      <w:r>
        <w:rPr>
          <w:sz w:val="24"/>
        </w:rPr>
        <w:t>严格执行</w:t>
      </w:r>
      <w:r>
        <w:rPr>
          <w:sz w:val="24"/>
          <w:u w:val="single"/>
        </w:rPr>
        <w:t xml:space="preserve"> </w:t>
      </w:r>
      <w:r>
        <w:rPr>
          <w:sz w:val="24"/>
          <w:u w:val="single"/>
        </w:rPr>
        <w:tab/>
      </w:r>
      <w:r>
        <w:rPr>
          <w:sz w:val="24"/>
        </w:rPr>
        <w:t>（项目名称）</w:t>
      </w:r>
      <w:r>
        <w:rPr>
          <w:sz w:val="24"/>
          <w:u w:val="single"/>
        </w:rPr>
        <w:t xml:space="preserve"> </w:t>
      </w:r>
      <w:r>
        <w:rPr>
          <w:sz w:val="24"/>
          <w:u w:val="single"/>
        </w:rPr>
        <w:tab/>
      </w:r>
      <w:r>
        <w:rPr>
          <w:sz w:val="24"/>
        </w:rPr>
        <w:t>合同段施工合同文件，自觉按合同办事。</w:t>
      </w:r>
    </w:p>
    <w:p>
      <w:pPr>
        <w:pStyle w:val="10"/>
        <w:numPr>
          <w:ilvl w:val="0"/>
          <w:numId w:val="108"/>
        </w:numPr>
        <w:tabs>
          <w:tab w:val="left" w:pos="1622"/>
        </w:tabs>
        <w:spacing w:before="160" w:after="0" w:line="364" w:lineRule="auto"/>
        <w:ind w:left="540" w:right="519" w:firstLine="480"/>
        <w:jc w:val="left"/>
        <w:rPr>
          <w:sz w:val="24"/>
        </w:rPr>
      </w:pPr>
      <w:r>
        <w:rPr>
          <w:spacing w:val="-4"/>
          <w:sz w:val="24"/>
        </w:rPr>
        <w:t>双方的业务活动坚持公开、公正、诚信、透明的原则</w:t>
      </w:r>
      <w:r>
        <w:rPr>
          <w:sz w:val="24"/>
        </w:rPr>
        <w:t>（法律认定的商业秘密和合同文件另有规定除外</w:t>
      </w:r>
      <w:r>
        <w:rPr>
          <w:spacing w:val="-19"/>
          <w:sz w:val="24"/>
        </w:rPr>
        <w:t>）</w:t>
      </w:r>
      <w:r>
        <w:rPr>
          <w:spacing w:val="-8"/>
          <w:sz w:val="24"/>
        </w:rPr>
        <w:t>，不得损害国家和集体利益，不得违反工程建设管理规章制度。</w:t>
      </w:r>
    </w:p>
    <w:p>
      <w:pPr>
        <w:pStyle w:val="10"/>
        <w:numPr>
          <w:ilvl w:val="0"/>
          <w:numId w:val="108"/>
        </w:numPr>
        <w:tabs>
          <w:tab w:val="left" w:pos="1622"/>
        </w:tabs>
        <w:spacing w:before="0" w:after="0" w:line="364" w:lineRule="auto"/>
        <w:ind w:left="540" w:right="639" w:firstLine="480"/>
        <w:jc w:val="left"/>
        <w:rPr>
          <w:sz w:val="24"/>
        </w:rPr>
      </w:pPr>
      <w:r>
        <w:rPr>
          <w:spacing w:val="-6"/>
          <w:sz w:val="24"/>
        </w:rPr>
        <w:t>建立健全廉政制度，开展廉政教育，设立廉政告示牌，公布举报电话，监督并</w:t>
      </w:r>
      <w:r>
        <w:rPr>
          <w:sz w:val="24"/>
        </w:rPr>
        <w:t>认真查处违法违纪行为。</w:t>
      </w:r>
    </w:p>
    <w:p>
      <w:pPr>
        <w:pStyle w:val="10"/>
        <w:numPr>
          <w:ilvl w:val="0"/>
          <w:numId w:val="108"/>
        </w:numPr>
        <w:tabs>
          <w:tab w:val="left" w:pos="1622"/>
        </w:tabs>
        <w:spacing w:before="0" w:after="0" w:line="364" w:lineRule="auto"/>
        <w:ind w:left="540" w:right="639" w:firstLine="480"/>
        <w:jc w:val="left"/>
        <w:rPr>
          <w:sz w:val="24"/>
        </w:rPr>
      </w:pPr>
      <w:r>
        <w:rPr>
          <w:spacing w:val="-2"/>
          <w:sz w:val="24"/>
        </w:rPr>
        <w:t>发现对方在业务活动中有违反廉政规定的行为，有及时提醒对方纠正的权利</w:t>
      </w:r>
      <w:r>
        <w:rPr>
          <w:spacing w:val="-5"/>
          <w:sz w:val="24"/>
        </w:rPr>
        <w:t>和义务。</w:t>
      </w:r>
    </w:p>
    <w:p>
      <w:pPr>
        <w:pStyle w:val="10"/>
        <w:numPr>
          <w:ilvl w:val="0"/>
          <w:numId w:val="108"/>
        </w:numPr>
        <w:tabs>
          <w:tab w:val="left" w:pos="1622"/>
        </w:tabs>
        <w:spacing w:before="0" w:after="0" w:line="364" w:lineRule="auto"/>
        <w:ind w:left="540" w:right="639" w:firstLine="480"/>
        <w:jc w:val="left"/>
        <w:rPr>
          <w:sz w:val="24"/>
        </w:rPr>
      </w:pPr>
      <w:r>
        <w:rPr>
          <w:spacing w:val="-3"/>
          <w:sz w:val="24"/>
        </w:rPr>
        <w:t>发现对方严重违反本合同义务条款的行为，有向其上级有关部门举报、建议给</w:t>
      </w:r>
      <w:r>
        <w:rPr>
          <w:sz w:val="24"/>
        </w:rPr>
        <w:t>予处理并要求告知处理结果的权利。</w:t>
      </w:r>
    </w:p>
    <w:p>
      <w:pPr>
        <w:pStyle w:val="10"/>
        <w:numPr>
          <w:ilvl w:val="0"/>
          <w:numId w:val="107"/>
        </w:numPr>
        <w:tabs>
          <w:tab w:val="left" w:pos="1382"/>
        </w:tabs>
        <w:spacing w:before="0" w:after="0" w:line="306" w:lineRule="exact"/>
        <w:ind w:left="1381" w:right="0" w:hanging="362"/>
        <w:jc w:val="left"/>
        <w:rPr>
          <w:sz w:val="24"/>
        </w:rPr>
      </w:pPr>
      <w:r>
        <w:rPr>
          <w:sz w:val="24"/>
        </w:rPr>
        <w:t>发包人的义务</w:t>
      </w:r>
    </w:p>
    <w:p>
      <w:pPr>
        <w:pStyle w:val="10"/>
        <w:numPr>
          <w:ilvl w:val="0"/>
          <w:numId w:val="109"/>
        </w:numPr>
        <w:tabs>
          <w:tab w:val="left" w:pos="1622"/>
        </w:tabs>
        <w:spacing w:before="157" w:after="0" w:line="362" w:lineRule="auto"/>
        <w:ind w:left="540" w:right="639" w:firstLine="480"/>
        <w:jc w:val="left"/>
        <w:rPr>
          <w:sz w:val="24"/>
        </w:rPr>
      </w:pPr>
      <w:r>
        <w:rPr>
          <w:spacing w:val="-3"/>
          <w:sz w:val="24"/>
        </w:rPr>
        <w:t>发包人及其工作人员不得索要或接受承包人的礼金、有价证券和贵重物品，不</w:t>
      </w:r>
      <w:r>
        <w:rPr>
          <w:sz w:val="24"/>
        </w:rPr>
        <w:t>得让承包人报销任何应由发包人或发包人工作人员个人支付的费用等。</w:t>
      </w:r>
    </w:p>
    <w:p>
      <w:pPr>
        <w:pStyle w:val="10"/>
        <w:numPr>
          <w:ilvl w:val="0"/>
          <w:numId w:val="109"/>
        </w:numPr>
        <w:tabs>
          <w:tab w:val="left" w:pos="1622"/>
        </w:tabs>
        <w:spacing w:before="5" w:after="0" w:line="364" w:lineRule="auto"/>
        <w:ind w:left="540" w:right="639" w:firstLine="480"/>
        <w:jc w:val="left"/>
        <w:rPr>
          <w:sz w:val="24"/>
        </w:rPr>
      </w:pPr>
      <w:r>
        <w:rPr>
          <w:spacing w:val="-1"/>
          <w:sz w:val="24"/>
        </w:rPr>
        <w:t>发包人工作人员不得参加承包人安排的超标准宴请和娱乐活动；不得接受承</w:t>
      </w:r>
      <w:r>
        <w:rPr>
          <w:spacing w:val="-4"/>
          <w:sz w:val="24"/>
        </w:rPr>
        <w:t>包人提供的通讯工具、交通工具和高档办公用品等。</w:t>
      </w:r>
    </w:p>
    <w:p>
      <w:pPr>
        <w:pStyle w:val="10"/>
        <w:numPr>
          <w:ilvl w:val="0"/>
          <w:numId w:val="109"/>
        </w:numPr>
        <w:tabs>
          <w:tab w:val="left" w:pos="1622"/>
        </w:tabs>
        <w:spacing w:before="0" w:after="0" w:line="362" w:lineRule="auto"/>
        <w:ind w:left="540" w:right="584" w:firstLine="480"/>
        <w:jc w:val="left"/>
        <w:rPr>
          <w:sz w:val="24"/>
        </w:rPr>
      </w:pPr>
      <w:r>
        <w:rPr>
          <w:spacing w:val="-1"/>
          <w:sz w:val="24"/>
        </w:rPr>
        <w:t>发包人及其工作人员不利要求或者接受承包人为其住房装修、婚丧嫁娶活动、</w:t>
      </w:r>
      <w:r>
        <w:rPr>
          <w:sz w:val="24"/>
        </w:rPr>
        <w:t>配偶子女的工作安排以及出国出境、旅游等提供方便等。</w:t>
      </w:r>
    </w:p>
    <w:p>
      <w:pPr>
        <w:pStyle w:val="10"/>
        <w:numPr>
          <w:ilvl w:val="0"/>
          <w:numId w:val="109"/>
        </w:numPr>
        <w:tabs>
          <w:tab w:val="left" w:pos="1622"/>
        </w:tabs>
        <w:spacing w:before="4" w:after="0" w:line="362" w:lineRule="auto"/>
        <w:ind w:left="540" w:right="584" w:firstLine="480"/>
        <w:jc w:val="left"/>
        <w:rPr>
          <w:sz w:val="24"/>
        </w:rPr>
      </w:pPr>
      <w:r>
        <w:rPr>
          <w:spacing w:val="-1"/>
          <w:sz w:val="24"/>
        </w:rPr>
        <w:t>发包人工作人员及其配偶、子女不得从事与发包人工作有关的材料设备供应、</w:t>
      </w:r>
      <w:r>
        <w:rPr>
          <w:sz w:val="24"/>
        </w:rPr>
        <w:t>工程分包、劳务等经济活动等。</w:t>
      </w:r>
    </w:p>
    <w:p>
      <w:pPr>
        <w:pStyle w:val="10"/>
        <w:numPr>
          <w:ilvl w:val="0"/>
          <w:numId w:val="109"/>
        </w:numPr>
        <w:tabs>
          <w:tab w:val="left" w:pos="1622"/>
        </w:tabs>
        <w:spacing w:before="5" w:after="0" w:line="240" w:lineRule="auto"/>
        <w:ind w:left="1621" w:right="0" w:hanging="602"/>
        <w:jc w:val="left"/>
        <w:rPr>
          <w:sz w:val="24"/>
        </w:rPr>
      </w:pPr>
      <w:r>
        <w:rPr>
          <w:spacing w:val="-1"/>
          <w:sz w:val="24"/>
        </w:rPr>
        <w:t>发包人及期工作人员不得以任何理由向承包人推荐分包单位或推销材料，不得</w:t>
      </w:r>
    </w:p>
    <w:p>
      <w:pPr>
        <w:spacing w:after="0" w:line="240" w:lineRule="auto"/>
        <w:jc w:val="left"/>
        <w:rPr>
          <w:sz w:val="24"/>
        </w:rPr>
        <w:sectPr>
          <w:footerReference r:id="rId15" w:type="default"/>
          <w:pgSz w:w="11910" w:h="16840"/>
          <w:pgMar w:top="1380" w:right="720" w:bottom="1080" w:left="820" w:header="746" w:footer="891" w:gutter="0"/>
          <w:pgNumType w:start="80"/>
          <w:cols w:space="720" w:num="1"/>
        </w:sectPr>
      </w:pPr>
    </w:p>
    <w:p>
      <w:pPr>
        <w:pStyle w:val="5"/>
        <w:spacing w:before="61"/>
      </w:pPr>
      <w:r>
        <w:t>要求承包人购买合同规定外的材料和设备。</w:t>
      </w:r>
    </w:p>
    <w:p>
      <w:pPr>
        <w:pStyle w:val="10"/>
        <w:numPr>
          <w:ilvl w:val="0"/>
          <w:numId w:val="109"/>
        </w:numPr>
        <w:tabs>
          <w:tab w:val="left" w:pos="1622"/>
        </w:tabs>
        <w:spacing w:before="160" w:after="0" w:line="362" w:lineRule="auto"/>
        <w:ind w:left="540" w:right="639" w:firstLine="480"/>
        <w:jc w:val="left"/>
        <w:rPr>
          <w:sz w:val="24"/>
        </w:rPr>
      </w:pPr>
      <w:r>
        <w:rPr>
          <w:spacing w:val="-4"/>
          <w:sz w:val="24"/>
        </w:rPr>
        <w:t>发包人工作人员要秉公办事，不准营私舞弊，不准利用职权从事各种个人有偿</w:t>
      </w:r>
      <w:r>
        <w:rPr>
          <w:sz w:val="24"/>
        </w:rPr>
        <w:t>中介活动和安排个人施工队伍。</w:t>
      </w:r>
    </w:p>
    <w:p>
      <w:pPr>
        <w:pStyle w:val="10"/>
        <w:numPr>
          <w:ilvl w:val="0"/>
          <w:numId w:val="107"/>
        </w:numPr>
        <w:tabs>
          <w:tab w:val="left" w:pos="1382"/>
        </w:tabs>
        <w:spacing w:before="5" w:after="0" w:line="240" w:lineRule="auto"/>
        <w:ind w:left="1381" w:right="0" w:hanging="362"/>
        <w:jc w:val="left"/>
        <w:rPr>
          <w:sz w:val="24"/>
        </w:rPr>
      </w:pPr>
      <w:r>
        <w:rPr>
          <w:sz w:val="24"/>
        </w:rPr>
        <w:t>承包人的义务</w:t>
      </w:r>
    </w:p>
    <w:p>
      <w:pPr>
        <w:pStyle w:val="10"/>
        <w:numPr>
          <w:ilvl w:val="0"/>
          <w:numId w:val="110"/>
        </w:numPr>
        <w:tabs>
          <w:tab w:val="left" w:pos="1622"/>
        </w:tabs>
        <w:spacing w:before="158" w:after="0" w:line="364" w:lineRule="auto"/>
        <w:ind w:left="540" w:right="639" w:firstLine="480"/>
        <w:jc w:val="left"/>
        <w:rPr>
          <w:sz w:val="24"/>
        </w:rPr>
      </w:pPr>
      <w:r>
        <w:rPr>
          <w:spacing w:val="-3"/>
          <w:sz w:val="24"/>
        </w:rPr>
        <w:t>承包人不得以任何理由向发包人及其工作人员行贿或馈赠礼金、有价证券、贵</w:t>
      </w:r>
      <w:r>
        <w:rPr>
          <w:sz w:val="24"/>
        </w:rPr>
        <w:t>重礼品。</w:t>
      </w:r>
    </w:p>
    <w:p>
      <w:pPr>
        <w:pStyle w:val="10"/>
        <w:numPr>
          <w:ilvl w:val="0"/>
          <w:numId w:val="110"/>
        </w:numPr>
        <w:tabs>
          <w:tab w:val="left" w:pos="1622"/>
        </w:tabs>
        <w:spacing w:before="0" w:after="0" w:line="364" w:lineRule="auto"/>
        <w:ind w:left="540" w:right="639" w:firstLine="480"/>
        <w:jc w:val="left"/>
        <w:rPr>
          <w:sz w:val="24"/>
        </w:rPr>
      </w:pPr>
      <w:r>
        <w:rPr>
          <w:sz w:val="24"/>
        </w:rPr>
        <w:t>承包人不得以任何名义为发包人及其工作人员报销应由发包人单位或个人支</w:t>
      </w:r>
      <w:r>
        <w:rPr>
          <w:spacing w:val="-4"/>
          <w:sz w:val="24"/>
        </w:rPr>
        <w:t>付的任何费用。</w:t>
      </w:r>
    </w:p>
    <w:p>
      <w:pPr>
        <w:pStyle w:val="10"/>
        <w:numPr>
          <w:ilvl w:val="0"/>
          <w:numId w:val="110"/>
        </w:numPr>
        <w:tabs>
          <w:tab w:val="left" w:pos="1622"/>
        </w:tabs>
        <w:spacing w:before="0" w:after="0" w:line="240" w:lineRule="auto"/>
        <w:ind w:left="1621" w:right="0" w:hanging="602"/>
        <w:jc w:val="left"/>
        <w:rPr>
          <w:sz w:val="24"/>
        </w:rPr>
      </w:pPr>
      <w:r>
        <w:rPr>
          <w:sz w:val="24"/>
        </w:rPr>
        <w:t>承包人不得以任何理由安排发包人工作人员参加超标准宴请及娱乐活动。</w:t>
      </w:r>
    </w:p>
    <w:p>
      <w:pPr>
        <w:pStyle w:val="10"/>
        <w:numPr>
          <w:ilvl w:val="0"/>
          <w:numId w:val="110"/>
        </w:numPr>
        <w:tabs>
          <w:tab w:val="left" w:pos="1622"/>
        </w:tabs>
        <w:spacing w:before="158" w:after="0" w:line="362" w:lineRule="auto"/>
        <w:ind w:left="540" w:right="639" w:firstLine="480"/>
        <w:jc w:val="left"/>
        <w:rPr>
          <w:sz w:val="24"/>
        </w:rPr>
      </w:pPr>
      <w:r>
        <w:rPr>
          <w:spacing w:val="-2"/>
          <w:sz w:val="24"/>
        </w:rPr>
        <w:t>承包人不得为发包人单位和个人购置或提供通讯工具、交通工具和高档办公</w:t>
      </w:r>
      <w:r>
        <w:rPr>
          <w:spacing w:val="-5"/>
          <w:sz w:val="24"/>
        </w:rPr>
        <w:t>用品等。</w:t>
      </w:r>
    </w:p>
    <w:p>
      <w:pPr>
        <w:pStyle w:val="10"/>
        <w:numPr>
          <w:ilvl w:val="0"/>
          <w:numId w:val="107"/>
        </w:numPr>
        <w:tabs>
          <w:tab w:val="left" w:pos="1382"/>
        </w:tabs>
        <w:spacing w:before="5" w:after="0" w:line="240" w:lineRule="auto"/>
        <w:ind w:left="1381" w:right="0" w:hanging="362"/>
        <w:jc w:val="left"/>
        <w:rPr>
          <w:sz w:val="24"/>
        </w:rPr>
      </w:pPr>
      <w:r>
        <w:rPr>
          <w:sz w:val="24"/>
        </w:rPr>
        <w:t>违约责任</w:t>
      </w:r>
    </w:p>
    <w:p>
      <w:pPr>
        <w:pStyle w:val="10"/>
        <w:numPr>
          <w:ilvl w:val="0"/>
          <w:numId w:val="111"/>
        </w:numPr>
        <w:tabs>
          <w:tab w:val="left" w:pos="1626"/>
        </w:tabs>
        <w:spacing w:before="161" w:after="0" w:line="364" w:lineRule="auto"/>
        <w:ind w:left="540" w:right="639" w:firstLine="480"/>
        <w:jc w:val="both"/>
        <w:rPr>
          <w:sz w:val="24"/>
        </w:rPr>
      </w:pPr>
      <w:r>
        <w:rPr>
          <w:spacing w:val="-3"/>
          <w:sz w:val="24"/>
        </w:rPr>
        <w:t xml:space="preserve">发包人及其工作人员违反本合同第 </w:t>
      </w:r>
      <w:r>
        <w:rPr>
          <w:sz w:val="24"/>
        </w:rPr>
        <w:t>1、2</w:t>
      </w:r>
      <w:r>
        <w:rPr>
          <w:spacing w:val="-7"/>
          <w:sz w:val="24"/>
        </w:rPr>
        <w:t xml:space="preserve"> 条，按管理权限，依据有关规定给予党纪、政纪或组织处理；涉嫌犯罪的，移交司法机关追究刑事责任；给承包人单位造成经济损失的，应予以赔偿。</w:t>
      </w:r>
    </w:p>
    <w:p>
      <w:pPr>
        <w:pStyle w:val="10"/>
        <w:numPr>
          <w:ilvl w:val="0"/>
          <w:numId w:val="111"/>
        </w:numPr>
        <w:tabs>
          <w:tab w:val="left" w:pos="1626"/>
        </w:tabs>
        <w:spacing w:before="0" w:after="0" w:line="364" w:lineRule="auto"/>
        <w:ind w:left="540" w:right="639" w:firstLine="480"/>
        <w:jc w:val="right"/>
        <w:rPr>
          <w:sz w:val="24"/>
        </w:rPr>
      </w:pPr>
      <w:r>
        <w:rPr>
          <w:spacing w:val="-3"/>
          <w:sz w:val="24"/>
        </w:rPr>
        <w:t xml:space="preserve">承包人及其工作人员违反本合同第 </w:t>
      </w:r>
      <w:r>
        <w:rPr>
          <w:sz w:val="24"/>
        </w:rPr>
        <w:t>1、3</w:t>
      </w:r>
      <w:r>
        <w:rPr>
          <w:spacing w:val="-6"/>
          <w:sz w:val="24"/>
        </w:rPr>
        <w:t xml:space="preserve"> 条，按管理权限，依据有关规定给予</w:t>
      </w:r>
      <w:r>
        <w:rPr>
          <w:sz w:val="24"/>
        </w:rPr>
        <w:t>党纪、政纪或组织处理；给发包人单位造成经济损失的，应予以赔偿；情节严重的，发包人建议交通主管部门给予承包人一至三年内不得进入其主管的公路建设市场的处罚。 5.双方约定：本合同由双方或双方上级单位的纪检监察部门负责监督执行。由发包</w:t>
      </w:r>
    </w:p>
    <w:p>
      <w:pPr>
        <w:pStyle w:val="5"/>
        <w:spacing w:line="364" w:lineRule="auto"/>
        <w:ind w:right="639"/>
      </w:pPr>
      <w:r>
        <w:t>人或发包人上级单位的纪检监察部门约请承包人或承包人上级单位纪检监察部门对本合同执行情况进行检查，提出在本合同规定范围内的裁定意见。</w:t>
      </w:r>
    </w:p>
    <w:p>
      <w:pPr>
        <w:pStyle w:val="10"/>
        <w:numPr>
          <w:ilvl w:val="0"/>
          <w:numId w:val="112"/>
        </w:numPr>
        <w:tabs>
          <w:tab w:val="left" w:pos="1262"/>
        </w:tabs>
        <w:spacing w:before="0" w:after="0" w:line="306" w:lineRule="exact"/>
        <w:ind w:left="1261" w:right="0" w:hanging="242"/>
        <w:jc w:val="left"/>
        <w:rPr>
          <w:sz w:val="24"/>
        </w:rPr>
      </w:pPr>
      <w:r>
        <w:rPr>
          <w:sz w:val="24"/>
        </w:rPr>
        <w:t>本合同有效期为发包人和承包人签署之日起至该工程项目竣工验收后止。</w:t>
      </w:r>
    </w:p>
    <w:p>
      <w:pPr>
        <w:pStyle w:val="10"/>
        <w:numPr>
          <w:ilvl w:val="0"/>
          <w:numId w:val="112"/>
        </w:numPr>
        <w:tabs>
          <w:tab w:val="left" w:pos="1382"/>
        </w:tabs>
        <w:spacing w:before="155" w:after="0" w:line="364" w:lineRule="auto"/>
        <w:ind w:left="540" w:right="639" w:firstLine="480"/>
        <w:jc w:val="left"/>
        <w:rPr>
          <w:sz w:val="24"/>
        </w:rPr>
      </w:pPr>
      <w:r>
        <w:rPr>
          <w:spacing w:val="-3"/>
          <w:sz w:val="24"/>
        </w:rPr>
        <w:t>本合同作为（</w:t>
      </w:r>
      <w:r>
        <w:rPr>
          <w:sz w:val="24"/>
        </w:rPr>
        <w:t>项目名称</w:t>
      </w:r>
      <w:r>
        <w:rPr>
          <w:spacing w:val="-12"/>
          <w:sz w:val="24"/>
        </w:rPr>
        <w:t>）</w:t>
      </w:r>
      <w:r>
        <w:rPr>
          <w:spacing w:val="-3"/>
          <w:sz w:val="24"/>
        </w:rPr>
        <w:t>标段施工合同的附件，与工程施工合同具有同等的法律</w:t>
      </w:r>
      <w:r>
        <w:rPr>
          <w:sz w:val="24"/>
        </w:rPr>
        <w:t>效力，经合同双方签署后立即生效。</w:t>
      </w:r>
    </w:p>
    <w:p>
      <w:pPr>
        <w:pStyle w:val="10"/>
        <w:numPr>
          <w:ilvl w:val="0"/>
          <w:numId w:val="112"/>
        </w:numPr>
        <w:tabs>
          <w:tab w:val="left" w:pos="1382"/>
        </w:tabs>
        <w:spacing w:before="0" w:after="0" w:line="362" w:lineRule="auto"/>
        <w:ind w:left="540" w:right="639" w:firstLine="480"/>
        <w:jc w:val="left"/>
        <w:rPr>
          <w:sz w:val="24"/>
        </w:rPr>
      </w:pPr>
      <w:r>
        <w:rPr>
          <w:spacing w:val="-5"/>
          <w:sz w:val="24"/>
        </w:rPr>
        <w:t>本合同一式四份，由发包人和承包人各执—份，送交发包人和承包人的监督单位</w:t>
      </w:r>
      <w:r>
        <w:rPr>
          <w:sz w:val="24"/>
        </w:rPr>
        <w:t>各一份</w:t>
      </w:r>
    </w:p>
    <w:p>
      <w:pPr>
        <w:pStyle w:val="5"/>
        <w:tabs>
          <w:tab w:val="left" w:pos="3420"/>
          <w:tab w:val="left" w:pos="5100"/>
          <w:tab w:val="left" w:pos="7980"/>
        </w:tabs>
        <w:spacing w:before="3" w:line="362" w:lineRule="auto"/>
        <w:ind w:right="944"/>
      </w:pPr>
      <w:r>
        <w:t>发包人：</w:t>
      </w:r>
      <w:r>
        <w:rPr>
          <w:u w:val="single"/>
        </w:rPr>
        <w:t xml:space="preserve"> </w:t>
      </w:r>
      <w:r>
        <w:rPr>
          <w:u w:val="single"/>
        </w:rPr>
        <w:tab/>
      </w:r>
      <w:r>
        <w:t>（盖单位章）</w:t>
      </w:r>
      <w:r>
        <w:tab/>
      </w:r>
      <w:r>
        <w:t>承包人：</w:t>
      </w:r>
      <w:r>
        <w:rPr>
          <w:u w:val="single"/>
        </w:rPr>
        <w:t xml:space="preserve"> </w:t>
      </w:r>
      <w:r>
        <w:rPr>
          <w:u w:val="single"/>
        </w:rPr>
        <w:tab/>
      </w:r>
      <w:r>
        <w:t>（盖单位章</w:t>
      </w:r>
      <w:r>
        <w:rPr>
          <w:spacing w:val="-17"/>
        </w:rPr>
        <w:t xml:space="preserve">） </w:t>
      </w:r>
      <w:r>
        <w:t>法定代表人或其委托代理人：</w:t>
      </w:r>
      <w:r>
        <w:rPr>
          <w:spacing w:val="119"/>
          <w:u w:val="single"/>
        </w:rPr>
        <w:t xml:space="preserve"> </w:t>
      </w:r>
      <w:r>
        <w:t>（签字）</w:t>
      </w:r>
      <w:r>
        <w:tab/>
      </w:r>
      <w:r>
        <w:t>法定代表人或其委托代理人：</w:t>
      </w:r>
      <w:r>
        <w:rPr>
          <w:spacing w:val="119"/>
          <w:u w:val="single"/>
        </w:rPr>
        <w:t xml:space="preserve"> </w:t>
      </w:r>
      <w:r>
        <w:t>（签字</w:t>
      </w:r>
      <w:r>
        <w:rPr>
          <w:spacing w:val="-16"/>
        </w:rPr>
        <w:t>）</w:t>
      </w:r>
    </w:p>
    <w:p>
      <w:pPr>
        <w:pStyle w:val="5"/>
        <w:tabs>
          <w:tab w:val="left" w:pos="1620"/>
          <w:tab w:val="left" w:pos="2340"/>
          <w:tab w:val="left" w:pos="3060"/>
          <w:tab w:val="left" w:pos="6059"/>
          <w:tab w:val="left" w:pos="6780"/>
          <w:tab w:val="left" w:pos="7500"/>
          <w:tab w:val="left" w:pos="8220"/>
        </w:tabs>
        <w:spacing w:before="5"/>
        <w:ind w:left="90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r>
        <w:tab/>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pPr>
        <w:pStyle w:val="5"/>
        <w:tabs>
          <w:tab w:val="left" w:pos="5220"/>
        </w:tabs>
        <w:spacing w:before="161"/>
      </w:pPr>
      <w:r>
        <w:t>发包人监督单位：</w:t>
      </w:r>
      <w:r>
        <w:rPr>
          <w:u w:val="single"/>
        </w:rPr>
        <w:t>（全称） （盖单位章）</w:t>
      </w:r>
      <w:r>
        <w:tab/>
      </w:r>
      <w:r>
        <w:t>承包人监督单位：</w:t>
      </w:r>
      <w:r>
        <w:rPr>
          <w:u w:val="single"/>
        </w:rPr>
        <w:t>（全称） （盖单位章）</w:t>
      </w:r>
    </w:p>
    <w:p>
      <w:pPr>
        <w:spacing w:after="0"/>
        <w:sectPr>
          <w:pgSz w:w="11910" w:h="16840"/>
          <w:pgMar w:top="1380" w:right="720" w:bottom="1080" w:left="820" w:header="746" w:footer="891" w:gutter="0"/>
          <w:cols w:space="720" w:num="1"/>
        </w:sectPr>
      </w:pPr>
    </w:p>
    <w:p>
      <w:pPr>
        <w:pStyle w:val="5"/>
        <w:tabs>
          <w:tab w:val="left" w:pos="1620"/>
        </w:tabs>
        <w:spacing w:before="61"/>
      </w:pPr>
      <w:r>
        <w:t>附件三</w:t>
      </w:r>
      <w:r>
        <w:tab/>
      </w:r>
      <w:r>
        <w:t>安全生产合同</w:t>
      </w:r>
    </w:p>
    <w:p>
      <w:pPr>
        <w:pStyle w:val="5"/>
        <w:spacing w:before="9"/>
        <w:ind w:left="0"/>
        <w:rPr>
          <w:sz w:val="16"/>
        </w:rPr>
      </w:pPr>
    </w:p>
    <w:p>
      <w:pPr>
        <w:pStyle w:val="4"/>
        <w:spacing w:before="66"/>
        <w:ind w:left="259" w:right="360"/>
        <w:jc w:val="center"/>
      </w:pPr>
      <w:r>
        <w:t>安全生产合同</w:t>
      </w:r>
    </w:p>
    <w:p>
      <w:pPr>
        <w:pStyle w:val="5"/>
        <w:spacing w:before="9"/>
        <w:ind w:left="0"/>
        <w:rPr>
          <w:b/>
          <w:sz w:val="21"/>
        </w:rPr>
      </w:pPr>
    </w:p>
    <w:p>
      <w:pPr>
        <w:pStyle w:val="5"/>
        <w:tabs>
          <w:tab w:val="left" w:pos="2232"/>
        </w:tabs>
        <w:spacing w:line="280" w:lineRule="auto"/>
        <w:ind w:right="639" w:firstLine="480"/>
        <w:jc w:val="both"/>
      </w:pPr>
      <w:r>
        <w:t>为在</w:t>
      </w:r>
      <w:r>
        <w:rPr>
          <w:u w:val="single"/>
        </w:rPr>
        <w:t xml:space="preserve"> </w:t>
      </w:r>
      <w:r>
        <w:rPr>
          <w:u w:val="single"/>
        </w:rPr>
        <w:tab/>
      </w:r>
      <w:r>
        <w:t>（项目名称）</w:t>
      </w:r>
      <w:r>
        <w:rPr>
          <w:u w:val="single"/>
        </w:rPr>
        <w:t xml:space="preserve">  </w:t>
      </w:r>
      <w:r>
        <w:rPr>
          <w:spacing w:val="43"/>
          <w:u w:val="single"/>
        </w:rPr>
        <w:t xml:space="preserve"> </w:t>
      </w:r>
      <w:r>
        <w:t>（合同段）施工合同的实施过程中创造安全、高效的施工环境，切实搞好本项目的安全管理工作，本项目发包人</w:t>
      </w:r>
      <w:r>
        <w:rPr>
          <w:u w:val="single"/>
        </w:rPr>
        <w:t xml:space="preserve">  </w:t>
      </w:r>
      <w:r>
        <w:rPr>
          <w:spacing w:val="50"/>
          <w:u w:val="single"/>
        </w:rPr>
        <w:t xml:space="preserve"> </w:t>
      </w:r>
      <w:r>
        <w:t>（发包人名称，以下简称“发包人”）与承包人</w:t>
      </w:r>
      <w:r>
        <w:rPr>
          <w:u w:val="single"/>
        </w:rPr>
        <w:t xml:space="preserve">  </w:t>
      </w:r>
      <w:r>
        <w:rPr>
          <w:spacing w:val="52"/>
          <w:u w:val="single"/>
        </w:rPr>
        <w:t xml:space="preserve"> </w:t>
      </w:r>
      <w:r>
        <w:t>（承包人名称，以下简称“承包人”）特此签订安全生产合同：</w:t>
      </w:r>
    </w:p>
    <w:p>
      <w:pPr>
        <w:pStyle w:val="10"/>
        <w:numPr>
          <w:ilvl w:val="0"/>
          <w:numId w:val="113"/>
        </w:numPr>
        <w:tabs>
          <w:tab w:val="left" w:pos="1262"/>
        </w:tabs>
        <w:spacing w:before="0" w:after="0" w:line="301" w:lineRule="exact"/>
        <w:ind w:left="1261" w:right="0" w:hanging="242"/>
        <w:jc w:val="left"/>
        <w:rPr>
          <w:sz w:val="24"/>
        </w:rPr>
      </w:pPr>
      <w:r>
        <w:rPr>
          <w:sz w:val="24"/>
        </w:rPr>
        <w:t>发包人职责</w:t>
      </w:r>
    </w:p>
    <w:p>
      <w:pPr>
        <w:pStyle w:val="10"/>
        <w:numPr>
          <w:ilvl w:val="0"/>
          <w:numId w:val="114"/>
        </w:numPr>
        <w:tabs>
          <w:tab w:val="left" w:pos="1622"/>
        </w:tabs>
        <w:spacing w:before="50" w:after="0" w:line="278" w:lineRule="auto"/>
        <w:ind w:left="540" w:right="639" w:firstLine="480"/>
        <w:jc w:val="left"/>
        <w:rPr>
          <w:sz w:val="24"/>
        </w:rPr>
      </w:pPr>
      <w:r>
        <w:rPr>
          <w:spacing w:val="-2"/>
          <w:sz w:val="24"/>
        </w:rPr>
        <w:t>严格遵守国家有关安全生产的法律法规，认真执行工程承包合同中的有关安</w:t>
      </w:r>
      <w:r>
        <w:rPr>
          <w:spacing w:val="-5"/>
          <w:sz w:val="24"/>
        </w:rPr>
        <w:t>全要求。</w:t>
      </w:r>
    </w:p>
    <w:p>
      <w:pPr>
        <w:pStyle w:val="10"/>
        <w:numPr>
          <w:ilvl w:val="0"/>
          <w:numId w:val="114"/>
        </w:numPr>
        <w:tabs>
          <w:tab w:val="left" w:pos="1622"/>
        </w:tabs>
        <w:spacing w:before="2" w:after="0" w:line="278" w:lineRule="auto"/>
        <w:ind w:left="540" w:right="639" w:firstLine="480"/>
        <w:jc w:val="left"/>
        <w:rPr>
          <w:sz w:val="24"/>
        </w:rPr>
      </w:pPr>
      <w:r>
        <w:rPr>
          <w:spacing w:val="-8"/>
          <w:sz w:val="24"/>
        </w:rPr>
        <w:t>按照“安全第一、预防为主”和坚持“管生产必须管安全”的原则进行安全生</w:t>
      </w:r>
      <w:r>
        <w:rPr>
          <w:sz w:val="24"/>
        </w:rPr>
        <w:t>产管理，做到生产与安全工作同时计划、布置、检查、总结和评比。</w:t>
      </w:r>
    </w:p>
    <w:p>
      <w:pPr>
        <w:pStyle w:val="10"/>
        <w:numPr>
          <w:ilvl w:val="0"/>
          <w:numId w:val="114"/>
        </w:numPr>
        <w:tabs>
          <w:tab w:val="left" w:pos="1622"/>
        </w:tabs>
        <w:spacing w:before="4" w:after="0" w:line="278" w:lineRule="auto"/>
        <w:ind w:left="540" w:right="519" w:firstLine="480"/>
        <w:jc w:val="left"/>
        <w:rPr>
          <w:sz w:val="24"/>
        </w:rPr>
      </w:pPr>
      <w:r>
        <w:rPr>
          <w:spacing w:val="-7"/>
          <w:sz w:val="24"/>
        </w:rPr>
        <w:t>重要的安全设施必须坚持与主体工程“三同时”的原则，即：同时设计、审批</w:t>
      </w:r>
      <w:r>
        <w:rPr>
          <w:spacing w:val="-4"/>
          <w:sz w:val="24"/>
        </w:rPr>
        <w:t>，同时施工，同时验收，投入使用。</w:t>
      </w:r>
    </w:p>
    <w:p>
      <w:pPr>
        <w:pStyle w:val="10"/>
        <w:numPr>
          <w:ilvl w:val="0"/>
          <w:numId w:val="114"/>
        </w:numPr>
        <w:tabs>
          <w:tab w:val="left" w:pos="1622"/>
        </w:tabs>
        <w:spacing w:before="2" w:after="0" w:line="240" w:lineRule="auto"/>
        <w:ind w:left="1621" w:right="0" w:hanging="602"/>
        <w:jc w:val="left"/>
        <w:rPr>
          <w:sz w:val="24"/>
        </w:rPr>
      </w:pPr>
      <w:r>
        <w:rPr>
          <w:sz w:val="24"/>
        </w:rPr>
        <w:t>定期召开安全生产调度会，及时传达中央及地方有关安全生产的精神。</w:t>
      </w:r>
    </w:p>
    <w:p>
      <w:pPr>
        <w:pStyle w:val="10"/>
        <w:numPr>
          <w:ilvl w:val="0"/>
          <w:numId w:val="114"/>
        </w:numPr>
        <w:tabs>
          <w:tab w:val="left" w:pos="1622"/>
        </w:tabs>
        <w:spacing w:before="50" w:after="0" w:line="278" w:lineRule="auto"/>
        <w:ind w:left="540" w:right="639" w:firstLine="480"/>
        <w:jc w:val="left"/>
        <w:rPr>
          <w:sz w:val="24"/>
        </w:rPr>
      </w:pPr>
      <w:r>
        <w:rPr>
          <w:spacing w:val="-2"/>
          <w:sz w:val="24"/>
        </w:rPr>
        <w:t>组织对承包人施工现场安全生产检查，监督承包人及时处理发现的各种安全</w:t>
      </w:r>
      <w:r>
        <w:rPr>
          <w:spacing w:val="-6"/>
          <w:sz w:val="24"/>
        </w:rPr>
        <w:t>隐患。</w:t>
      </w:r>
    </w:p>
    <w:p>
      <w:pPr>
        <w:pStyle w:val="10"/>
        <w:numPr>
          <w:ilvl w:val="0"/>
          <w:numId w:val="113"/>
        </w:numPr>
        <w:tabs>
          <w:tab w:val="left" w:pos="1262"/>
        </w:tabs>
        <w:spacing w:before="2" w:after="0" w:line="240" w:lineRule="auto"/>
        <w:ind w:left="1261" w:right="0" w:hanging="242"/>
        <w:jc w:val="left"/>
        <w:rPr>
          <w:sz w:val="24"/>
        </w:rPr>
      </w:pPr>
      <w:r>
        <w:rPr>
          <w:sz w:val="24"/>
        </w:rPr>
        <w:t>承包人职责</w:t>
      </w:r>
    </w:p>
    <w:p>
      <w:pPr>
        <w:pStyle w:val="10"/>
        <w:numPr>
          <w:ilvl w:val="0"/>
          <w:numId w:val="115"/>
        </w:numPr>
        <w:tabs>
          <w:tab w:val="left" w:pos="1622"/>
        </w:tabs>
        <w:spacing w:before="50" w:after="0" w:line="280" w:lineRule="auto"/>
        <w:ind w:left="540" w:right="639" w:firstLine="480"/>
        <w:jc w:val="both"/>
        <w:rPr>
          <w:sz w:val="24"/>
        </w:rPr>
      </w:pPr>
      <w:r>
        <w:rPr>
          <w:spacing w:val="-7"/>
          <w:sz w:val="24"/>
        </w:rPr>
        <w:t>严格遵守《中华人民共和国安全生产法》、《建设工程安全生产管理条例》等</w:t>
      </w:r>
      <w:r>
        <w:rPr>
          <w:sz w:val="24"/>
        </w:rPr>
        <w:t>国家有关安全生产的法律法规、《公路水运工程安全生产监督管理办法》、《公路工程施工安全技术规程》和《公路筑养路机械操作规程》等有关安全生产的规定。认真执行工程承包合同中的有关安全要求。</w:t>
      </w:r>
    </w:p>
    <w:p>
      <w:pPr>
        <w:pStyle w:val="10"/>
        <w:numPr>
          <w:ilvl w:val="0"/>
          <w:numId w:val="115"/>
        </w:numPr>
        <w:tabs>
          <w:tab w:val="left" w:pos="1622"/>
        </w:tabs>
        <w:spacing w:before="0" w:after="0" w:line="278" w:lineRule="auto"/>
        <w:ind w:left="540" w:right="639" w:firstLine="480"/>
        <w:jc w:val="both"/>
        <w:rPr>
          <w:sz w:val="24"/>
        </w:rPr>
      </w:pPr>
      <w:r>
        <w:rPr>
          <w:spacing w:val="-9"/>
          <w:sz w:val="24"/>
        </w:rPr>
        <w:t>坚持“安全第一、预防为主”和“管生产必须管安全”的原则，加强安全生产</w:t>
      </w:r>
      <w:r>
        <w:rPr>
          <w:sz w:val="24"/>
        </w:rPr>
        <w:t>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pStyle w:val="10"/>
        <w:numPr>
          <w:ilvl w:val="0"/>
          <w:numId w:val="115"/>
        </w:numPr>
        <w:tabs>
          <w:tab w:val="left" w:pos="1622"/>
        </w:tabs>
        <w:spacing w:before="1" w:after="0" w:line="278" w:lineRule="auto"/>
        <w:ind w:left="540" w:right="639" w:firstLine="480"/>
        <w:jc w:val="both"/>
        <w:rPr>
          <w:sz w:val="24"/>
        </w:rPr>
      </w:pPr>
      <w:r>
        <w:rPr>
          <w:spacing w:val="-3"/>
          <w:sz w:val="24"/>
        </w:rPr>
        <w:t>建立健全安全生产责任制。从派往项目实施的项目经理到生产工人</w:t>
      </w:r>
      <w:r>
        <w:rPr>
          <w:sz w:val="24"/>
        </w:rPr>
        <w:t>（</w:t>
      </w:r>
      <w:r>
        <w:rPr>
          <w:spacing w:val="-4"/>
          <w:sz w:val="24"/>
        </w:rPr>
        <w:t>包括临时</w:t>
      </w:r>
      <w:r>
        <w:rPr>
          <w:sz w:val="24"/>
        </w:rPr>
        <w:t>雇请的民工）的安全生产管理系统必须做到纵向到底，—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pPr>
        <w:pStyle w:val="10"/>
        <w:numPr>
          <w:ilvl w:val="0"/>
          <w:numId w:val="115"/>
        </w:numPr>
        <w:tabs>
          <w:tab w:val="left" w:pos="1622"/>
        </w:tabs>
        <w:spacing w:before="5" w:after="0" w:line="278" w:lineRule="auto"/>
        <w:ind w:left="540" w:right="584" w:firstLine="480"/>
        <w:jc w:val="left"/>
        <w:rPr>
          <w:sz w:val="24"/>
        </w:rPr>
      </w:pPr>
      <w:r>
        <w:rPr>
          <w:spacing w:val="-1"/>
          <w:sz w:val="24"/>
        </w:rPr>
        <w:t>承包人在任何时候都应采取各种合理的预防措施，防止其员工发生任何违法、</w:t>
      </w:r>
      <w:r>
        <w:rPr>
          <w:sz w:val="24"/>
        </w:rPr>
        <w:t>违禁、暴力或妨碍治安的行为。</w:t>
      </w:r>
    </w:p>
    <w:p>
      <w:pPr>
        <w:pStyle w:val="10"/>
        <w:numPr>
          <w:ilvl w:val="0"/>
          <w:numId w:val="115"/>
        </w:numPr>
        <w:tabs>
          <w:tab w:val="left" w:pos="1622"/>
        </w:tabs>
        <w:spacing w:before="4" w:after="0" w:line="278" w:lineRule="auto"/>
        <w:ind w:left="540" w:right="519" w:firstLine="480"/>
        <w:jc w:val="both"/>
        <w:rPr>
          <w:sz w:val="24"/>
        </w:rPr>
      </w:pPr>
      <w:r>
        <w:rPr>
          <w:spacing w:val="-1"/>
          <w:sz w:val="24"/>
        </w:rPr>
        <w:t>承包人必须具有劳动安全管理部门颁发的安全生产考核合格证书，参加施工的人员，必须接受安全技术教育，熟知和遵守本工种的各项安全技术操作规程，定期进行</w:t>
      </w:r>
      <w:r>
        <w:rPr>
          <w:spacing w:val="-8"/>
          <w:sz w:val="24"/>
        </w:rPr>
        <w:t>安全技术考核，合格者方准上岗操作。对于从事电气、起重、建筑登高架设作业、锅炉、</w:t>
      </w:r>
    </w:p>
    <w:p>
      <w:pPr>
        <w:spacing w:after="0" w:line="278" w:lineRule="auto"/>
        <w:jc w:val="both"/>
        <w:rPr>
          <w:sz w:val="24"/>
        </w:rPr>
        <w:sectPr>
          <w:pgSz w:w="11910" w:h="16840"/>
          <w:pgMar w:top="1380" w:right="720" w:bottom="1080" w:left="820" w:header="746" w:footer="891" w:gutter="0"/>
          <w:cols w:space="720" w:num="1"/>
        </w:sectPr>
      </w:pPr>
    </w:p>
    <w:p>
      <w:pPr>
        <w:pStyle w:val="5"/>
        <w:spacing w:before="61" w:line="278" w:lineRule="auto"/>
        <w:ind w:right="639"/>
        <w:jc w:val="both"/>
      </w:pPr>
      <w:r>
        <w:t>压力容器、焊接、机动车船艇驾驶、爆破、潜水、瓦斯检验等特殊工种的人员，经过专业培训，获得《安全操作合格证》后，方准持证上岗。施工现场如出现特种作业无证操作现象时，项目经理必须承担管理责任。</w:t>
      </w:r>
    </w:p>
    <w:p>
      <w:pPr>
        <w:pStyle w:val="10"/>
        <w:numPr>
          <w:ilvl w:val="0"/>
          <w:numId w:val="115"/>
        </w:numPr>
        <w:tabs>
          <w:tab w:val="left" w:pos="1622"/>
        </w:tabs>
        <w:spacing w:before="2" w:after="0" w:line="280" w:lineRule="auto"/>
        <w:ind w:left="540" w:right="519" w:firstLine="480"/>
        <w:jc w:val="left"/>
        <w:rPr>
          <w:sz w:val="24"/>
        </w:rPr>
      </w:pPr>
      <w:r>
        <w:rPr>
          <w:spacing w:val="-2"/>
          <w:sz w:val="24"/>
        </w:rPr>
        <w:t>对于易燃易爆的材料除应专门妥善保管之外，还应配备有足够的消防设施，所</w:t>
      </w:r>
      <w:r>
        <w:rPr>
          <w:spacing w:val="-6"/>
          <w:sz w:val="24"/>
        </w:rPr>
        <w:t>有施工人员都应熟悉消防设备的性能和使用方法；承包人不得将任何种类的爆炸物给予、</w:t>
      </w:r>
      <w:r>
        <w:rPr>
          <w:sz w:val="24"/>
        </w:rPr>
        <w:t>易货或以其他方式转让给任何其他人，或允许、容忍上述同样行为。</w:t>
      </w:r>
    </w:p>
    <w:p>
      <w:pPr>
        <w:pStyle w:val="10"/>
        <w:numPr>
          <w:ilvl w:val="0"/>
          <w:numId w:val="115"/>
        </w:numPr>
        <w:tabs>
          <w:tab w:val="left" w:pos="1622"/>
        </w:tabs>
        <w:spacing w:before="0" w:after="0" w:line="278" w:lineRule="auto"/>
        <w:ind w:left="540" w:right="639" w:firstLine="480"/>
        <w:jc w:val="left"/>
        <w:rPr>
          <w:sz w:val="24"/>
        </w:rPr>
      </w:pPr>
      <w:r>
        <w:rPr>
          <w:spacing w:val="-5"/>
          <w:sz w:val="24"/>
        </w:rPr>
        <w:t>操作人员上岗，必须按规定穿戴防护用品。施工负责人和安全检查员应随时检</w:t>
      </w:r>
      <w:r>
        <w:rPr>
          <w:sz w:val="24"/>
        </w:rPr>
        <w:t>查劳动防护用品的穿戴情况，不按规定穿戴防护用品的人员不得上岗。</w:t>
      </w:r>
    </w:p>
    <w:p>
      <w:pPr>
        <w:pStyle w:val="10"/>
        <w:numPr>
          <w:ilvl w:val="0"/>
          <w:numId w:val="115"/>
        </w:numPr>
        <w:tabs>
          <w:tab w:val="left" w:pos="1622"/>
        </w:tabs>
        <w:spacing w:before="0" w:after="0" w:line="278" w:lineRule="auto"/>
        <w:ind w:left="540" w:right="584" w:firstLine="480"/>
        <w:jc w:val="left"/>
        <w:rPr>
          <w:sz w:val="24"/>
        </w:rPr>
      </w:pPr>
      <w:r>
        <w:rPr>
          <w:spacing w:val="-1"/>
          <w:sz w:val="24"/>
        </w:rPr>
        <w:t xml:space="preserve">所有施工机具设备和高空作业的设备均应定期检查，并有安全员的签字记录， </w:t>
      </w:r>
      <w:r>
        <w:rPr>
          <w:sz w:val="24"/>
        </w:rPr>
        <w:t>保证其经常处于完好状态；不合格的机具、设备和劳动保护用品严禁使用：</w:t>
      </w:r>
    </w:p>
    <w:p>
      <w:pPr>
        <w:pStyle w:val="10"/>
        <w:numPr>
          <w:ilvl w:val="0"/>
          <w:numId w:val="115"/>
        </w:numPr>
        <w:tabs>
          <w:tab w:val="left" w:pos="1622"/>
        </w:tabs>
        <w:spacing w:before="2" w:after="0" w:line="278" w:lineRule="auto"/>
        <w:ind w:left="540" w:right="639" w:firstLine="480"/>
        <w:jc w:val="left"/>
        <w:rPr>
          <w:sz w:val="24"/>
        </w:rPr>
      </w:pPr>
      <w:r>
        <w:rPr>
          <w:spacing w:val="-6"/>
          <w:sz w:val="24"/>
        </w:rPr>
        <w:t>施工中采用新技术、新工艺、新设备、新材料时，必须制定相应的安全技术措</w:t>
      </w:r>
      <w:r>
        <w:rPr>
          <w:sz w:val="24"/>
        </w:rPr>
        <w:t>施，施工现场必须具有相关的安全标志牌。</w:t>
      </w:r>
    </w:p>
    <w:p>
      <w:pPr>
        <w:pStyle w:val="10"/>
        <w:numPr>
          <w:ilvl w:val="0"/>
          <w:numId w:val="115"/>
        </w:numPr>
        <w:tabs>
          <w:tab w:val="left" w:pos="1746"/>
        </w:tabs>
        <w:spacing w:before="2" w:after="0" w:line="278" w:lineRule="auto"/>
        <w:ind w:left="540" w:right="639" w:firstLine="480"/>
        <w:jc w:val="both"/>
        <w:rPr>
          <w:sz w:val="24"/>
        </w:rPr>
      </w:pPr>
      <w:r>
        <w:rPr>
          <w:sz w:val="24"/>
        </w:rPr>
        <w:t>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pPr>
        <w:pStyle w:val="10"/>
        <w:numPr>
          <w:ilvl w:val="0"/>
          <w:numId w:val="115"/>
        </w:numPr>
        <w:tabs>
          <w:tab w:val="left" w:pos="1746"/>
        </w:tabs>
        <w:spacing w:before="6" w:after="0" w:line="278" w:lineRule="auto"/>
        <w:ind w:left="540" w:right="639" w:firstLine="480"/>
        <w:jc w:val="left"/>
        <w:rPr>
          <w:sz w:val="24"/>
        </w:rPr>
      </w:pPr>
      <w:r>
        <w:rPr>
          <w:sz w:val="24"/>
        </w:rPr>
        <w:t>安全生产费用按照《公路水运工程安全生产监督管理办法》的相关规定使用和管理。</w:t>
      </w:r>
    </w:p>
    <w:p>
      <w:pPr>
        <w:pStyle w:val="10"/>
        <w:numPr>
          <w:ilvl w:val="0"/>
          <w:numId w:val="113"/>
        </w:numPr>
        <w:tabs>
          <w:tab w:val="left" w:pos="1262"/>
        </w:tabs>
        <w:spacing w:before="2" w:after="0" w:line="240" w:lineRule="auto"/>
        <w:ind w:left="1261" w:right="0" w:hanging="242"/>
        <w:jc w:val="left"/>
        <w:rPr>
          <w:sz w:val="24"/>
        </w:rPr>
      </w:pPr>
      <w:r>
        <w:rPr>
          <w:sz w:val="24"/>
        </w:rPr>
        <w:t>违约责任</w:t>
      </w:r>
    </w:p>
    <w:p>
      <w:pPr>
        <w:pStyle w:val="5"/>
        <w:spacing w:before="50"/>
        <w:ind w:left="1020"/>
      </w:pPr>
      <w:r>
        <w:t>如因发包人或承包人违约造成安全事故，将依法追究责任。</w:t>
      </w:r>
    </w:p>
    <w:p>
      <w:pPr>
        <w:pStyle w:val="10"/>
        <w:numPr>
          <w:ilvl w:val="0"/>
          <w:numId w:val="113"/>
        </w:numPr>
        <w:tabs>
          <w:tab w:val="left" w:pos="1262"/>
        </w:tabs>
        <w:spacing w:before="50" w:after="0" w:line="278" w:lineRule="auto"/>
        <w:ind w:left="540" w:right="642" w:firstLine="480"/>
        <w:jc w:val="left"/>
        <w:rPr>
          <w:sz w:val="24"/>
        </w:rPr>
      </w:pPr>
      <w:r>
        <w:rPr>
          <w:sz w:val="24"/>
        </w:rPr>
        <w:t>本合同由双方法定代表人或其授权的代理人签署并加盖单位章后生效，全部工程竣工验收后失效。</w:t>
      </w:r>
    </w:p>
    <w:p>
      <w:pPr>
        <w:pStyle w:val="10"/>
        <w:numPr>
          <w:ilvl w:val="0"/>
          <w:numId w:val="113"/>
        </w:numPr>
        <w:tabs>
          <w:tab w:val="left" w:pos="1262"/>
        </w:tabs>
        <w:spacing w:before="2" w:after="0" w:line="278" w:lineRule="auto"/>
        <w:ind w:left="540" w:right="639" w:firstLine="480"/>
        <w:jc w:val="left"/>
        <w:rPr>
          <w:sz w:val="24"/>
        </w:rPr>
      </w:pPr>
      <w:r>
        <w:rPr>
          <w:sz w:val="24"/>
        </w:rPr>
        <w:t>本合同正本—式二份，副本 份，合同双方各执正本—份，副本</w:t>
      </w:r>
      <w:r>
        <w:rPr>
          <w:sz w:val="24"/>
          <w:u w:val="single"/>
        </w:rPr>
        <w:t xml:space="preserve"> </w:t>
      </w:r>
      <w:r>
        <w:rPr>
          <w:spacing w:val="2"/>
          <w:sz w:val="24"/>
        </w:rPr>
        <w:t xml:space="preserve"> 份，当正本与副本的内容不一致时，以正本为准。</w:t>
      </w:r>
    </w:p>
    <w:p>
      <w:pPr>
        <w:pStyle w:val="5"/>
        <w:spacing w:before="3"/>
        <w:ind w:left="0"/>
        <w:rPr>
          <w:sz w:val="28"/>
        </w:rPr>
      </w:pPr>
    </w:p>
    <w:p>
      <w:pPr>
        <w:pStyle w:val="5"/>
        <w:tabs>
          <w:tab w:val="left" w:pos="3420"/>
          <w:tab w:val="left" w:pos="5100"/>
          <w:tab w:val="left" w:pos="7980"/>
        </w:tabs>
        <w:spacing w:line="278" w:lineRule="auto"/>
        <w:ind w:right="944"/>
      </w:pPr>
      <w:r>
        <w:t>发包人：</w:t>
      </w:r>
      <w:r>
        <w:rPr>
          <w:u w:val="single"/>
        </w:rPr>
        <w:t xml:space="preserve"> </w:t>
      </w:r>
      <w:r>
        <w:rPr>
          <w:u w:val="single"/>
        </w:rPr>
        <w:tab/>
      </w:r>
      <w:r>
        <w:t>（盖单位章）</w:t>
      </w:r>
      <w:r>
        <w:tab/>
      </w:r>
      <w:r>
        <w:t>承包人：</w:t>
      </w:r>
      <w:r>
        <w:rPr>
          <w:u w:val="single"/>
        </w:rPr>
        <w:t xml:space="preserve"> </w:t>
      </w:r>
      <w:r>
        <w:rPr>
          <w:u w:val="single"/>
        </w:rPr>
        <w:tab/>
      </w:r>
      <w:r>
        <w:t>（盖单位章</w:t>
      </w:r>
      <w:r>
        <w:rPr>
          <w:spacing w:val="-17"/>
        </w:rPr>
        <w:t xml:space="preserve">） </w:t>
      </w:r>
      <w:r>
        <w:t>法定代表人或其委托代理人：</w:t>
      </w:r>
      <w:r>
        <w:rPr>
          <w:spacing w:val="119"/>
          <w:u w:val="single"/>
        </w:rPr>
        <w:t xml:space="preserve"> </w:t>
      </w:r>
      <w:r>
        <w:t>（签字）</w:t>
      </w:r>
      <w:r>
        <w:tab/>
      </w:r>
      <w:r>
        <w:t>法定代表人或其委托代理人：</w:t>
      </w:r>
      <w:r>
        <w:rPr>
          <w:spacing w:val="119"/>
          <w:u w:val="single"/>
        </w:rPr>
        <w:t xml:space="preserve"> </w:t>
      </w:r>
      <w:r>
        <w:t>（签字</w:t>
      </w:r>
      <w:r>
        <w:rPr>
          <w:spacing w:val="-16"/>
        </w:rPr>
        <w:t>）</w:t>
      </w:r>
    </w:p>
    <w:p>
      <w:pPr>
        <w:pStyle w:val="5"/>
        <w:tabs>
          <w:tab w:val="left" w:pos="1620"/>
          <w:tab w:val="left" w:pos="2340"/>
          <w:tab w:val="left" w:pos="3060"/>
          <w:tab w:val="left" w:pos="6059"/>
          <w:tab w:val="left" w:pos="6780"/>
          <w:tab w:val="left" w:pos="7500"/>
          <w:tab w:val="left" w:pos="8220"/>
        </w:tabs>
        <w:spacing w:before="2"/>
        <w:ind w:left="90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r>
        <w:tab/>
      </w:r>
      <w:r>
        <w:rPr>
          <w:u w:val="single"/>
        </w:rPr>
        <w:t xml:space="preserve"> </w:t>
      </w:r>
      <w:r>
        <w:rPr>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pgSz w:w="11910" w:h="16840"/>
          <w:pgMar w:top="1380" w:right="720" w:bottom="1080" w:left="820" w:header="746" w:footer="891" w:gutter="0"/>
          <w:cols w:space="720" w:num="1"/>
        </w:sectPr>
      </w:pPr>
    </w:p>
    <w:p>
      <w:pPr>
        <w:pStyle w:val="5"/>
        <w:spacing w:before="11"/>
        <w:ind w:left="0"/>
        <w:rPr>
          <w:sz w:val="23"/>
        </w:rPr>
      </w:pPr>
    </w:p>
    <w:p>
      <w:pPr>
        <w:pStyle w:val="4"/>
        <w:tabs>
          <w:tab w:val="left" w:pos="1084"/>
        </w:tabs>
        <w:spacing w:before="67"/>
        <w:ind w:left="0" w:right="101"/>
        <w:jc w:val="center"/>
      </w:pPr>
      <w:bookmarkStart w:id="116" w:name="附件六   项目经理委托书"/>
      <w:bookmarkEnd w:id="116"/>
      <w:r>
        <w:t>附件六</w:t>
      </w:r>
      <w:r>
        <w:tab/>
      </w:r>
      <w:r>
        <w:t>项目经理委托书</w:t>
      </w:r>
    </w:p>
    <w:p>
      <w:pPr>
        <w:pStyle w:val="5"/>
        <w:ind w:left="0"/>
        <w:rPr>
          <w:b/>
        </w:rPr>
      </w:pPr>
    </w:p>
    <w:p>
      <w:pPr>
        <w:pStyle w:val="5"/>
        <w:spacing w:before="11"/>
        <w:ind w:left="0"/>
        <w:rPr>
          <w:b/>
        </w:rPr>
      </w:pPr>
    </w:p>
    <w:p>
      <w:pPr>
        <w:pStyle w:val="5"/>
        <w:ind w:left="258" w:right="360"/>
        <w:jc w:val="center"/>
      </w:pPr>
      <w:r>
        <w:rPr>
          <w:u w:val="single"/>
        </w:rPr>
        <w:t>（承包人全称）</w:t>
      </w:r>
    </w:p>
    <w:p>
      <w:pPr>
        <w:pStyle w:val="5"/>
        <w:spacing w:before="158"/>
        <w:ind w:left="258" w:right="360"/>
        <w:jc w:val="center"/>
      </w:pPr>
      <w:r>
        <w:rPr>
          <w:u w:val="single"/>
        </w:rPr>
        <w:t>（合同工程名称）项目经理委任书</w:t>
      </w:r>
    </w:p>
    <w:p>
      <w:pPr>
        <w:pStyle w:val="5"/>
        <w:ind w:left="0"/>
        <w:rPr>
          <w:sz w:val="20"/>
        </w:rPr>
      </w:pPr>
    </w:p>
    <w:p>
      <w:pPr>
        <w:pStyle w:val="5"/>
        <w:spacing w:before="9"/>
        <w:ind w:left="0"/>
        <w:rPr>
          <w:sz w:val="23"/>
        </w:rPr>
      </w:pPr>
    </w:p>
    <w:p>
      <w:pPr>
        <w:pStyle w:val="5"/>
        <w:spacing w:before="66"/>
      </w:pPr>
      <w:r>
        <w:t>致：</w:t>
      </w:r>
      <w:r>
        <w:rPr>
          <w:u w:val="single"/>
        </w:rPr>
        <w:t>（发包人全称</w:t>
      </w:r>
      <w:r>
        <w:t>）</w:t>
      </w:r>
    </w:p>
    <w:p>
      <w:pPr>
        <w:pStyle w:val="5"/>
        <w:spacing w:before="161"/>
        <w:ind w:left="1020"/>
      </w:pPr>
      <w:r>
        <w:rPr>
          <w:u w:val="single"/>
        </w:rPr>
        <w:t>（承包人全称）</w:t>
      </w:r>
      <w:r>
        <w:t xml:space="preserve"> 法定代表人</w:t>
      </w:r>
      <w:r>
        <w:rPr>
          <w:u w:val="single"/>
        </w:rPr>
        <w:t xml:space="preserve"> （职务、姓名）</w:t>
      </w:r>
      <w:r>
        <w:t xml:space="preserve"> 代表本单位委任 </w:t>
      </w:r>
      <w:r>
        <w:rPr>
          <w:u w:val="single"/>
        </w:rPr>
        <w:t>（职务、姓名）</w:t>
      </w:r>
      <w:r>
        <w:t xml:space="preserve"> 为</w:t>
      </w:r>
    </w:p>
    <w:p>
      <w:pPr>
        <w:pStyle w:val="5"/>
        <w:spacing w:before="160" w:line="362" w:lineRule="auto"/>
        <w:ind w:right="639"/>
      </w:pPr>
      <w:r>
        <w:rPr>
          <w:u w:val="single"/>
        </w:rPr>
        <w:t>（合同工程名称）</w:t>
      </w:r>
      <w:r>
        <w:t>的项目经理。凡本合同执行中的有关技术、工程进度、现场管理、质量检验、结算与支付等方面工作，由</w:t>
      </w:r>
      <w:r>
        <w:rPr>
          <w:u w:val="single"/>
        </w:rPr>
        <w:t xml:space="preserve"> （姓名） </w:t>
      </w:r>
      <w:r>
        <w:t>代表本单位全面负责。</w:t>
      </w:r>
    </w:p>
    <w:p>
      <w:pPr>
        <w:pStyle w:val="5"/>
        <w:spacing w:before="9"/>
        <w:ind w:left="0"/>
        <w:rPr>
          <w:sz w:val="36"/>
        </w:rPr>
      </w:pPr>
    </w:p>
    <w:p>
      <w:pPr>
        <w:pStyle w:val="5"/>
        <w:spacing w:line="364" w:lineRule="auto"/>
        <w:ind w:left="6965" w:right="639" w:firstLine="360"/>
        <w:jc w:val="right"/>
      </w:pPr>
      <w:r>
        <w:t>承包人：（盖单位章</w:t>
      </w:r>
      <w:r>
        <w:rPr>
          <w:spacing w:val="-17"/>
        </w:rPr>
        <w:t>）</w:t>
      </w:r>
      <w:r>
        <w:t>法定代表人：</w:t>
      </w:r>
      <w:r>
        <w:rPr>
          <w:spacing w:val="119"/>
          <w:u w:val="single"/>
        </w:rPr>
        <w:t xml:space="preserve"> </w:t>
      </w:r>
      <w:r>
        <w:rPr>
          <w:u w:val="single"/>
        </w:rPr>
        <w:t>（职务）</w:t>
      </w:r>
      <w:r>
        <w:rPr>
          <w:spacing w:val="-1"/>
          <w:u w:val="single"/>
        </w:rPr>
        <w:t xml:space="preserve"> </w:t>
      </w:r>
    </w:p>
    <w:p>
      <w:pPr>
        <w:pStyle w:val="5"/>
        <w:spacing w:line="306" w:lineRule="exact"/>
        <w:ind w:left="0" w:right="641"/>
        <w:jc w:val="right"/>
      </w:pPr>
      <w:r>
        <w:rPr>
          <w:rFonts w:ascii="Times New Roman" w:eastAsia="Times New Roman"/>
          <w:u w:val="single"/>
        </w:rPr>
        <w:t xml:space="preserve">    </w:t>
      </w:r>
      <w:r>
        <w:rPr>
          <w:u w:val="single"/>
        </w:rPr>
        <w:t>（姓名）</w:t>
      </w:r>
      <w:r>
        <w:rPr>
          <w:spacing w:val="-1"/>
          <w:u w:val="single"/>
        </w:rPr>
        <w:t xml:space="preserve"> </w:t>
      </w:r>
    </w:p>
    <w:p>
      <w:pPr>
        <w:pStyle w:val="5"/>
        <w:spacing w:before="161"/>
        <w:ind w:left="0" w:right="641"/>
        <w:jc w:val="right"/>
      </w:pPr>
      <w:r>
        <w:rPr>
          <w:rFonts w:ascii="Times New Roman" w:eastAsia="Times New Roman"/>
          <w:u w:val="single"/>
        </w:rPr>
        <w:t xml:space="preserve">    </w:t>
      </w:r>
      <w:r>
        <w:rPr>
          <w:u w:val="single"/>
        </w:rPr>
        <w:t>（签字）</w:t>
      </w:r>
      <w:r>
        <w:rPr>
          <w:spacing w:val="-1"/>
          <w:u w:val="single"/>
        </w:rPr>
        <w:t xml:space="preserve"> </w:t>
      </w:r>
    </w:p>
    <w:p>
      <w:pPr>
        <w:pStyle w:val="5"/>
        <w:ind w:left="0"/>
        <w:rPr>
          <w:sz w:val="20"/>
        </w:rPr>
      </w:pPr>
    </w:p>
    <w:p>
      <w:pPr>
        <w:pStyle w:val="5"/>
        <w:spacing w:before="9"/>
        <w:ind w:left="0"/>
        <w:rPr>
          <w:sz w:val="23"/>
        </w:rPr>
      </w:pPr>
    </w:p>
    <w:p>
      <w:pPr>
        <w:pStyle w:val="5"/>
        <w:spacing w:before="66"/>
        <w:ind w:left="0" w:right="639"/>
        <w:jc w:val="right"/>
      </w:pPr>
      <w:r>
        <w:t>年月 日</w:t>
      </w:r>
    </w:p>
    <w:p>
      <w:pPr>
        <w:pStyle w:val="5"/>
        <w:ind w:left="0"/>
        <w:rPr>
          <w:sz w:val="20"/>
        </w:rPr>
      </w:pPr>
    </w:p>
    <w:p>
      <w:pPr>
        <w:pStyle w:val="5"/>
        <w:spacing w:before="9"/>
        <w:ind w:left="0"/>
        <w:rPr>
          <w:sz w:val="23"/>
        </w:rPr>
      </w:pPr>
    </w:p>
    <w:p>
      <w:pPr>
        <w:pStyle w:val="5"/>
        <w:spacing w:before="66"/>
      </w:pPr>
      <w:r>
        <w:t>抄送：</w:t>
      </w:r>
      <w:r>
        <w:rPr>
          <w:spacing w:val="119"/>
          <w:u w:val="single"/>
        </w:rPr>
        <w:t xml:space="preserve"> </w:t>
      </w:r>
      <w:r>
        <w:rPr>
          <w:u w:val="single"/>
        </w:rPr>
        <w:t>（监理人）</w:t>
      </w:r>
    </w:p>
    <w:p>
      <w:pPr>
        <w:spacing w:after="0"/>
        <w:sectPr>
          <w:pgSz w:w="11910" w:h="16840"/>
          <w:pgMar w:top="1380" w:right="720" w:bottom="1080" w:left="820" w:header="746" w:footer="891" w:gutter="0"/>
          <w:cols w:space="720" w:num="1"/>
        </w:sectPr>
      </w:pPr>
    </w:p>
    <w:p>
      <w:pPr>
        <w:pStyle w:val="5"/>
        <w:spacing w:before="11"/>
        <w:ind w:left="0"/>
        <w:rPr>
          <w:sz w:val="23"/>
        </w:rPr>
      </w:pPr>
    </w:p>
    <w:p>
      <w:pPr>
        <w:spacing w:after="0"/>
        <w:rPr>
          <w:sz w:val="23"/>
        </w:rPr>
        <w:sectPr>
          <w:pgSz w:w="11910" w:h="16840"/>
          <w:pgMar w:top="1380" w:right="720" w:bottom="1080" w:left="820" w:header="746" w:footer="891" w:gutter="0"/>
          <w:cols w:space="720" w:num="1"/>
        </w:sectPr>
      </w:pPr>
    </w:p>
    <w:p>
      <w:pPr>
        <w:tabs>
          <w:tab w:val="left" w:pos="1625"/>
        </w:tabs>
        <w:spacing w:before="67" w:line="364" w:lineRule="auto"/>
        <w:ind w:left="1021" w:leftChars="245" w:right="279" w:hanging="482" w:hangingChars="200"/>
        <w:jc w:val="both"/>
        <w:rPr>
          <w:sz w:val="24"/>
        </w:rPr>
      </w:pPr>
      <w:bookmarkStart w:id="117" w:name="_bookmark5"/>
      <w:bookmarkEnd w:id="117"/>
      <w:bookmarkStart w:id="118" w:name="附件七   履约保证金格式"/>
      <w:bookmarkEnd w:id="118"/>
      <w:r>
        <w:rPr>
          <w:b/>
          <w:sz w:val="24"/>
        </w:rPr>
        <w:t>附件七</w:t>
      </w:r>
      <w:r>
        <w:rPr>
          <w:b/>
          <w:sz w:val="24"/>
        </w:rPr>
        <w:tab/>
      </w:r>
      <w:r>
        <w:rPr>
          <w:b/>
          <w:sz w:val="24"/>
        </w:rPr>
        <w:t>履约保证金</w:t>
      </w:r>
      <w:r>
        <w:rPr>
          <w:rFonts w:hint="eastAsia"/>
          <w:b/>
          <w:sz w:val="24"/>
          <w:lang w:val="en-US" w:eastAsia="zh-CN"/>
        </w:rPr>
        <w:t>格式</w:t>
      </w:r>
      <w:r>
        <w:rPr>
          <w:rFonts w:hint="eastAsia"/>
          <w:b/>
          <w:sz w:val="24"/>
          <w:lang w:eastAsia="zh-CN"/>
        </w:rPr>
        <w:t>（</w:t>
      </w:r>
      <w:r>
        <w:rPr>
          <w:rFonts w:hint="eastAsia"/>
          <w:b/>
          <w:sz w:val="24"/>
          <w:lang w:val="en-US" w:eastAsia="zh-CN"/>
        </w:rPr>
        <w:t>如有</w:t>
      </w:r>
      <w:r>
        <w:rPr>
          <w:rFonts w:hint="eastAsia"/>
          <w:b/>
          <w:sz w:val="24"/>
          <w:lang w:eastAsia="zh-CN"/>
        </w:rPr>
        <w:t>）</w:t>
      </w:r>
      <w:r>
        <w:rPr>
          <w:sz w:val="24"/>
        </w:rPr>
        <w:t>如采用银行</w:t>
      </w:r>
      <w:r>
        <w:rPr>
          <w:rFonts w:hint="eastAsia"/>
          <w:sz w:val="24"/>
          <w:lang w:val="en-US" w:eastAsia="zh-CN"/>
        </w:rPr>
        <w:t>保证金</w:t>
      </w:r>
      <w:r>
        <w:rPr>
          <w:sz w:val="24"/>
        </w:rPr>
        <w:t>函，格式如下</w:t>
      </w:r>
      <w:r>
        <w:rPr>
          <w:spacing w:val="-19"/>
          <w:sz w:val="24"/>
        </w:rPr>
        <w:t>。</w:t>
      </w:r>
    </w:p>
    <w:p>
      <w:pPr>
        <w:pStyle w:val="5"/>
        <w:ind w:left="0"/>
      </w:pPr>
    </w:p>
    <w:p>
      <w:pPr>
        <w:pStyle w:val="5"/>
        <w:tabs>
          <w:tab w:val="left" w:pos="1980"/>
        </w:tabs>
        <w:spacing w:before="157"/>
      </w:pPr>
      <w:r>
        <w:rPr>
          <w:rFonts w:ascii="Times New Roman" w:eastAsia="Times New Roman"/>
          <w:u w:val="single"/>
        </w:rPr>
        <w:t xml:space="preserve"> </w:t>
      </w:r>
      <w:r>
        <w:rPr>
          <w:rFonts w:ascii="Times New Roman" w:eastAsia="Times New Roman"/>
          <w:u w:val="single"/>
        </w:rPr>
        <w:tab/>
      </w:r>
      <w:r>
        <w:t>（发包人名称）：</w:t>
      </w:r>
    </w:p>
    <w:p>
      <w:pPr>
        <w:pStyle w:val="5"/>
        <w:ind w:left="0"/>
      </w:pPr>
      <w:r>
        <w:br w:type="column"/>
      </w:r>
    </w:p>
    <w:p>
      <w:pPr>
        <w:pStyle w:val="5"/>
        <w:ind w:left="0"/>
      </w:pPr>
    </w:p>
    <w:p>
      <w:pPr>
        <w:pStyle w:val="5"/>
        <w:spacing w:before="1"/>
        <w:ind w:left="0"/>
        <w:rPr>
          <w:sz w:val="30"/>
        </w:rPr>
      </w:pPr>
    </w:p>
    <w:p>
      <w:pPr>
        <w:pStyle w:val="5"/>
        <w:spacing w:before="1"/>
        <w:ind w:left="0"/>
        <w:rPr>
          <w:sz w:val="30"/>
        </w:rPr>
      </w:pPr>
    </w:p>
    <w:p>
      <w:pPr>
        <w:pStyle w:val="4"/>
      </w:pPr>
      <w:r>
        <w:t>履约保证金</w:t>
      </w:r>
    </w:p>
    <w:p>
      <w:pPr>
        <w:spacing w:after="0"/>
        <w:sectPr>
          <w:type w:val="continuous"/>
          <w:pgSz w:w="11910" w:h="16840"/>
          <w:pgMar w:top="1600" w:right="720" w:bottom="880" w:left="820" w:header="720" w:footer="720" w:gutter="0"/>
          <w:cols w:equalWidth="0" w:num="2">
            <w:col w:w="3941" w:space="51"/>
            <w:col w:w="6378"/>
          </w:cols>
        </w:sectPr>
      </w:pPr>
    </w:p>
    <w:p>
      <w:pPr>
        <w:pStyle w:val="5"/>
        <w:ind w:left="0"/>
        <w:rPr>
          <w:b/>
          <w:sz w:val="20"/>
        </w:rPr>
      </w:pPr>
    </w:p>
    <w:p>
      <w:pPr>
        <w:pStyle w:val="5"/>
        <w:spacing w:before="1"/>
        <w:ind w:left="0"/>
        <w:rPr>
          <w:b/>
          <w:sz w:val="23"/>
        </w:rPr>
      </w:pPr>
    </w:p>
    <w:p>
      <w:pPr>
        <w:pStyle w:val="5"/>
        <w:tabs>
          <w:tab w:val="left" w:pos="2475"/>
          <w:tab w:val="left" w:pos="3922"/>
          <w:tab w:val="left" w:pos="6828"/>
          <w:tab w:val="left" w:pos="8035"/>
        </w:tabs>
        <w:spacing w:before="74" w:line="364" w:lineRule="auto"/>
        <w:ind w:right="639" w:firstLine="480"/>
        <w:jc w:val="both"/>
      </w:pPr>
      <w:r>
        <w:t>鉴于</w:t>
      </w:r>
      <w:r>
        <w:rPr>
          <w:u w:val="single"/>
        </w:rPr>
        <w:t xml:space="preserve"> </w:t>
      </w:r>
      <w:r>
        <w:rPr>
          <w:u w:val="single"/>
        </w:rPr>
        <w:tab/>
      </w:r>
      <w:r>
        <w:t>（发包人名称，以下简称“发包人”）接受</w:t>
      </w:r>
      <w:r>
        <w:rPr>
          <w:u w:val="single"/>
        </w:rPr>
        <w:t xml:space="preserve"> </w:t>
      </w:r>
      <w:r>
        <w:rPr>
          <w:u w:val="single"/>
        </w:rPr>
        <w:tab/>
      </w:r>
      <w:r>
        <w:t>（承包人名称</w:t>
      </w:r>
      <w:r>
        <w:rPr>
          <w:spacing w:val="-15"/>
        </w:rPr>
        <w:t xml:space="preserve">， </w:t>
      </w:r>
      <w:r>
        <w:t>以下简称“承包人”）于</w:t>
      </w:r>
      <w:r>
        <w:rPr>
          <w:u w:val="single"/>
        </w:rPr>
        <w:t xml:space="preserve"> </w:t>
      </w:r>
      <w:r>
        <w:rPr>
          <w:u w:val="single"/>
        </w:rPr>
        <w:tab/>
      </w:r>
      <w:r>
        <w:t>年</w:t>
      </w:r>
      <w:r>
        <w:rPr>
          <w:u w:val="single"/>
        </w:rPr>
        <w:t xml:space="preserve">    </w:t>
      </w:r>
      <w:r>
        <w:t>月</w:t>
      </w:r>
      <w:r>
        <w:rPr>
          <w:u w:val="single"/>
        </w:rPr>
        <w:t xml:space="preserve">  </w:t>
      </w:r>
      <w:r>
        <w:rPr>
          <w:spacing w:val="12"/>
          <w:u w:val="single"/>
        </w:rPr>
        <w:t xml:space="preserve"> </w:t>
      </w:r>
      <w:r>
        <w:t>日 参加</w:t>
      </w:r>
      <w:r>
        <w:rPr>
          <w:u w:val="single"/>
        </w:rPr>
        <w:t xml:space="preserve"> </w:t>
      </w:r>
      <w:r>
        <w:rPr>
          <w:u w:val="single"/>
        </w:rPr>
        <w:tab/>
      </w:r>
      <w:r>
        <w:t>（项目名称）</w:t>
      </w:r>
      <w:r>
        <w:rPr>
          <w:u w:val="single"/>
        </w:rPr>
        <w:t xml:space="preserve">  </w:t>
      </w:r>
      <w:r>
        <w:rPr>
          <w:spacing w:val="13"/>
          <w:u w:val="single"/>
        </w:rPr>
        <w:t xml:space="preserve"> </w:t>
      </w:r>
      <w:r>
        <w:t>合同段</w:t>
      </w:r>
      <w:r>
        <w:rPr>
          <w:spacing w:val="-14"/>
        </w:rPr>
        <w:t>施</w:t>
      </w:r>
      <w:r>
        <w:t>工的投标。我方愿意无条件地、不可撤销地就承包人履行与你方订立的合同，向你方提供担保。</w:t>
      </w:r>
    </w:p>
    <w:p>
      <w:pPr>
        <w:pStyle w:val="10"/>
        <w:numPr>
          <w:ilvl w:val="0"/>
          <w:numId w:val="116"/>
        </w:numPr>
        <w:tabs>
          <w:tab w:val="left" w:pos="1262"/>
          <w:tab w:val="left" w:pos="4860"/>
          <w:tab w:val="left" w:pos="6420"/>
        </w:tabs>
        <w:spacing w:before="0" w:after="0" w:line="240" w:lineRule="auto"/>
        <w:ind w:left="1261" w:right="0" w:hanging="242"/>
        <w:jc w:val="left"/>
        <w:rPr>
          <w:sz w:val="24"/>
        </w:rPr>
      </w:pPr>
      <w:r>
        <w:rPr>
          <w:sz w:val="24"/>
        </w:rPr>
        <w:t>担保金额人民币（大写）</w:t>
      </w:r>
      <w:r>
        <w:rPr>
          <w:sz w:val="24"/>
          <w:u w:val="single"/>
        </w:rPr>
        <w:t xml:space="preserve"> </w:t>
      </w:r>
      <w:r>
        <w:rPr>
          <w:sz w:val="24"/>
          <w:u w:val="single"/>
        </w:rPr>
        <w:tab/>
      </w:r>
      <w:r>
        <w:rPr>
          <w:sz w:val="24"/>
        </w:rPr>
        <w:t>元（¥</w:t>
      </w:r>
      <w:r>
        <w:rPr>
          <w:sz w:val="24"/>
          <w:u w:val="single"/>
        </w:rPr>
        <w:t xml:space="preserve"> </w:t>
      </w:r>
      <w:r>
        <w:rPr>
          <w:sz w:val="24"/>
          <w:u w:val="single"/>
        </w:rPr>
        <w:tab/>
      </w:r>
      <w:r>
        <w:rPr>
          <w:sz w:val="24"/>
        </w:rPr>
        <w:t>）。</w:t>
      </w:r>
    </w:p>
    <w:p>
      <w:pPr>
        <w:pStyle w:val="10"/>
        <w:numPr>
          <w:ilvl w:val="0"/>
          <w:numId w:val="116"/>
        </w:numPr>
        <w:tabs>
          <w:tab w:val="left" w:pos="1262"/>
        </w:tabs>
        <w:spacing w:before="158" w:after="0" w:line="364" w:lineRule="auto"/>
        <w:ind w:left="540" w:right="642" w:firstLine="480"/>
        <w:jc w:val="left"/>
        <w:rPr>
          <w:sz w:val="24"/>
        </w:rPr>
      </w:pPr>
      <w:r>
        <w:rPr>
          <w:sz w:val="24"/>
        </w:rPr>
        <w:t>担保有效期自发包人与承包人签订的合同生效之日起至发包人签发交工验收证书且承包人按照合同约定缴纳质量保证金之日止。</w:t>
      </w:r>
    </w:p>
    <w:p>
      <w:pPr>
        <w:pStyle w:val="10"/>
        <w:numPr>
          <w:ilvl w:val="0"/>
          <w:numId w:val="116"/>
        </w:numPr>
        <w:tabs>
          <w:tab w:val="left" w:pos="1262"/>
        </w:tabs>
        <w:spacing w:before="0" w:after="0" w:line="364" w:lineRule="auto"/>
        <w:ind w:left="540" w:right="639" w:firstLine="480"/>
        <w:jc w:val="both"/>
        <w:rPr>
          <w:sz w:val="24"/>
        </w:rPr>
      </w:pPr>
      <w:r>
        <w:rPr>
          <w:sz w:val="24"/>
        </w:rPr>
        <w:t>在本担保有效期内，因承包人违反合同约定的义务给你方造成经济损失时，我方</w:t>
      </w:r>
      <w:r>
        <w:rPr>
          <w:spacing w:val="-2"/>
          <w:sz w:val="24"/>
        </w:rPr>
        <w:t xml:space="preserve">在收到你方以书面形式提出的在担保金额内的赔偿要求后，在 </w:t>
      </w:r>
      <w:r>
        <w:rPr>
          <w:sz w:val="24"/>
        </w:rPr>
        <w:t>7</w:t>
      </w:r>
      <w:r>
        <w:rPr>
          <w:spacing w:val="-6"/>
          <w:sz w:val="24"/>
        </w:rPr>
        <w:t xml:space="preserve"> 日内无条件支付，无须你方出具证明或陈述理由。</w:t>
      </w:r>
    </w:p>
    <w:p>
      <w:pPr>
        <w:pStyle w:val="10"/>
        <w:numPr>
          <w:ilvl w:val="0"/>
          <w:numId w:val="116"/>
        </w:numPr>
        <w:tabs>
          <w:tab w:val="left" w:pos="1262"/>
        </w:tabs>
        <w:spacing w:before="0" w:after="0" w:line="362" w:lineRule="auto"/>
        <w:ind w:left="540" w:right="639" w:firstLine="480"/>
        <w:jc w:val="both"/>
        <w:rPr>
          <w:sz w:val="24"/>
        </w:rPr>
      </w:pPr>
      <w:r>
        <w:rPr>
          <w:spacing w:val="-5"/>
          <w:sz w:val="24"/>
        </w:rPr>
        <w:t xml:space="preserve">发包人和承包人按合同条款第 </w:t>
      </w:r>
      <w:r>
        <w:rPr>
          <w:sz w:val="24"/>
        </w:rPr>
        <w:t>15</w:t>
      </w:r>
      <w:r>
        <w:rPr>
          <w:spacing w:val="-12"/>
          <w:sz w:val="24"/>
        </w:rPr>
        <w:t xml:space="preserve"> 条变更合同时，无论我方是否收到该变更，我方</w:t>
      </w:r>
      <w:r>
        <w:rPr>
          <w:sz w:val="24"/>
        </w:rPr>
        <w:t>承担本担保规定的义务不变。</w:t>
      </w:r>
    </w:p>
    <w:p>
      <w:pPr>
        <w:pStyle w:val="5"/>
        <w:ind w:left="0"/>
      </w:pPr>
    </w:p>
    <w:p>
      <w:pPr>
        <w:pStyle w:val="5"/>
        <w:ind w:left="0"/>
      </w:pPr>
    </w:p>
    <w:p>
      <w:pPr>
        <w:pStyle w:val="5"/>
        <w:spacing w:before="1"/>
        <w:ind w:left="0"/>
        <w:rPr>
          <w:sz w:val="25"/>
        </w:rPr>
      </w:pPr>
    </w:p>
    <w:p>
      <w:pPr>
        <w:pStyle w:val="5"/>
        <w:tabs>
          <w:tab w:val="left" w:pos="5220"/>
          <w:tab w:val="left" w:pos="8100"/>
          <w:tab w:val="left" w:pos="8340"/>
          <w:tab w:val="left" w:pos="9359"/>
        </w:tabs>
        <w:spacing w:line="364" w:lineRule="auto"/>
        <w:ind w:left="4500" w:right="824"/>
        <w:rPr>
          <w:rFonts w:ascii="Times New Roman" w:eastAsia="Times New Roman"/>
        </w:rPr>
      </w:pPr>
      <w:r>
        <w:t>担保人名称：</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 地</w:t>
      </w:r>
      <w:r>
        <w:tab/>
      </w:r>
      <w:r>
        <w:rPr>
          <w:spacing w:val="-1"/>
        </w:rPr>
        <w:t>址</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邮政编</w:t>
      </w:r>
      <w:r>
        <w:rPr>
          <w:spacing w:val="-1"/>
        </w:rPr>
        <w:t>码</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电</w:t>
      </w:r>
      <w:r>
        <w:tab/>
      </w:r>
      <w:r>
        <w:rPr>
          <w:spacing w:val="-1"/>
        </w:rPr>
        <w:t>话</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传</w:t>
      </w:r>
      <w:r>
        <w:tab/>
      </w:r>
      <w:r>
        <w:rPr>
          <w:spacing w:val="-1"/>
        </w:rPr>
        <w:t>真</w:t>
      </w:r>
      <w: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spacing w:before="5"/>
        <w:ind w:left="0"/>
        <w:rPr>
          <w:rFonts w:ascii="Times New Roman"/>
          <w:sz w:val="20"/>
        </w:rPr>
      </w:pPr>
    </w:p>
    <w:p>
      <w:pPr>
        <w:pStyle w:val="5"/>
        <w:tabs>
          <w:tab w:val="left" w:pos="7380"/>
          <w:tab w:val="left" w:pos="8100"/>
          <w:tab w:val="left" w:pos="8820"/>
        </w:tabs>
        <w:ind w:left="66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type w:val="continuous"/>
          <w:pgSz w:w="11910" w:h="16840"/>
          <w:pgMar w:top="1600" w:right="720" w:bottom="880" w:left="820" w:header="720" w:footer="720" w:gutter="0"/>
          <w:cols w:space="720" w:num="1"/>
        </w:sectPr>
      </w:pPr>
    </w:p>
    <w:p>
      <w:pPr>
        <w:pStyle w:val="5"/>
        <w:ind w:left="0"/>
        <w:rPr>
          <w:sz w:val="20"/>
        </w:rPr>
      </w:pPr>
    </w:p>
    <w:p>
      <w:pPr>
        <w:pStyle w:val="5"/>
        <w:ind w:left="0"/>
        <w:rPr>
          <w:sz w:val="20"/>
        </w:rPr>
      </w:pPr>
    </w:p>
    <w:p>
      <w:pPr>
        <w:pStyle w:val="5"/>
        <w:ind w:left="0"/>
        <w:rPr>
          <w:sz w:val="20"/>
        </w:rPr>
      </w:pPr>
    </w:p>
    <w:p>
      <w:pPr>
        <w:tabs>
          <w:tab w:val="left" w:pos="1766"/>
        </w:tabs>
        <w:spacing w:before="203"/>
        <w:ind w:left="0" w:right="103" w:firstLine="0"/>
        <w:jc w:val="center"/>
        <w:rPr>
          <w:b/>
          <w:sz w:val="44"/>
        </w:rPr>
      </w:pPr>
      <w:bookmarkStart w:id="119" w:name="第五章  工程量清单"/>
      <w:bookmarkEnd w:id="119"/>
      <w:r>
        <w:rPr>
          <w:b/>
          <w:sz w:val="44"/>
        </w:rPr>
        <w:t>第五章</w:t>
      </w:r>
      <w:r>
        <w:rPr>
          <w:b/>
          <w:sz w:val="44"/>
        </w:rPr>
        <w:tab/>
      </w:r>
      <w:r>
        <w:rPr>
          <w:b/>
          <w:sz w:val="44"/>
        </w:rPr>
        <w:t>工程量清单</w:t>
      </w:r>
    </w:p>
    <w:p>
      <w:pPr>
        <w:pStyle w:val="5"/>
        <w:ind w:left="0"/>
        <w:rPr>
          <w:b/>
          <w:sz w:val="44"/>
        </w:rPr>
      </w:pPr>
    </w:p>
    <w:p>
      <w:pPr>
        <w:pStyle w:val="5"/>
        <w:spacing w:before="1"/>
        <w:ind w:left="0"/>
        <w:rPr>
          <w:b/>
          <w:sz w:val="45"/>
        </w:rPr>
      </w:pPr>
    </w:p>
    <w:p>
      <w:pPr>
        <w:pStyle w:val="5"/>
        <w:spacing w:line="362" w:lineRule="auto"/>
        <w:ind w:right="641" w:firstLine="480"/>
        <w:jc w:val="both"/>
      </w:pPr>
      <w:r>
        <w:t>根据豫交工【2009】12</w:t>
      </w:r>
      <w:r>
        <w:rPr>
          <w:spacing w:val="-11"/>
        </w:rPr>
        <w:t xml:space="preserve"> 号文第八条之规定，招标人将于开标 </w:t>
      </w:r>
      <w:r>
        <w:t>5</w:t>
      </w:r>
      <w:r>
        <w:rPr>
          <w:spacing w:val="-9"/>
        </w:rPr>
        <w:t xml:space="preserve"> 天前在指定媒体公布</w:t>
      </w:r>
      <w:r>
        <w:t>本招标项目的招标人报价（招标人报价总价、主要材料价格表）。</w:t>
      </w:r>
    </w:p>
    <w:p>
      <w:pPr>
        <w:pStyle w:val="4"/>
        <w:spacing w:before="5" w:line="364" w:lineRule="auto"/>
        <w:ind w:right="641" w:firstLine="480"/>
        <w:jc w:val="both"/>
      </w:pPr>
      <w:r>
        <w:rPr>
          <w:spacing w:val="-5"/>
        </w:rPr>
        <w:t xml:space="preserve">固化工程量清单按照开标 </w:t>
      </w:r>
      <w:r>
        <w:t>5</w:t>
      </w:r>
      <w:r>
        <w:rPr>
          <w:spacing w:val="-8"/>
        </w:rPr>
        <w:t xml:space="preserve"> 天前公示的招标人报价所依据的最终的工程量清单，通过《全国公共资源交易平台（河南省·商城县）》网发布，投标人自行下载，且以招标人报价公布时最终发布的固化工程量清单为准，填写投标报价。</w:t>
      </w:r>
    </w:p>
    <w:p>
      <w:pPr>
        <w:pStyle w:val="4"/>
        <w:numPr>
          <w:ilvl w:val="0"/>
          <w:numId w:val="117"/>
        </w:numPr>
        <w:tabs>
          <w:tab w:val="left" w:pos="902"/>
        </w:tabs>
        <w:spacing w:before="0" w:after="0" w:line="304" w:lineRule="exact"/>
        <w:ind w:left="901" w:right="0" w:hanging="362"/>
        <w:jc w:val="left"/>
      </w:pPr>
      <w:r>
        <w:t>工程量清单说明</w:t>
      </w:r>
    </w:p>
    <w:p>
      <w:pPr>
        <w:pStyle w:val="10"/>
        <w:numPr>
          <w:ilvl w:val="1"/>
          <w:numId w:val="117"/>
        </w:numPr>
        <w:tabs>
          <w:tab w:val="left" w:pos="1441"/>
        </w:tabs>
        <w:spacing w:before="160" w:after="0" w:line="364" w:lineRule="auto"/>
        <w:ind w:left="540" w:right="639" w:firstLine="480"/>
        <w:jc w:val="both"/>
        <w:rPr>
          <w:sz w:val="24"/>
        </w:rPr>
      </w:pPr>
      <w:r>
        <w:rPr>
          <w:spacing w:val="-8"/>
          <w:sz w:val="24"/>
        </w:rPr>
        <w:t>本工程量清单是根据招标文件中包括的、有合同约束力的图纸以及有关工程量清</w:t>
      </w:r>
      <w:r>
        <w:rPr>
          <w:sz w:val="24"/>
        </w:rPr>
        <w:t>单的国家标准、行业标准、合同条款中约定的工程量计算规则编制。约定计量规则中没有的子目，其工程量按照有合同约束力的图纸所标示尺寸的理论净量计算。计量采用中华人民共和国法定计量单位。</w:t>
      </w:r>
    </w:p>
    <w:p>
      <w:pPr>
        <w:pStyle w:val="10"/>
        <w:numPr>
          <w:ilvl w:val="1"/>
          <w:numId w:val="117"/>
        </w:numPr>
        <w:tabs>
          <w:tab w:val="left" w:pos="1441"/>
        </w:tabs>
        <w:spacing w:before="0" w:after="0" w:line="364" w:lineRule="auto"/>
        <w:ind w:left="540" w:right="639" w:firstLine="480"/>
        <w:jc w:val="both"/>
        <w:rPr>
          <w:sz w:val="24"/>
        </w:rPr>
      </w:pPr>
      <w:r>
        <w:rPr>
          <w:spacing w:val="-7"/>
          <w:sz w:val="24"/>
        </w:rPr>
        <w:t>本工程量清单应与招标文件中的投标人须知、通用合同条款、专用合同条款、计</w:t>
      </w:r>
      <w:r>
        <w:rPr>
          <w:sz w:val="24"/>
        </w:rPr>
        <w:t>量支付规则及图纸等一起阅读和理解。</w:t>
      </w:r>
    </w:p>
    <w:p>
      <w:pPr>
        <w:pStyle w:val="10"/>
        <w:numPr>
          <w:ilvl w:val="1"/>
          <w:numId w:val="117"/>
        </w:numPr>
        <w:tabs>
          <w:tab w:val="left" w:pos="1441"/>
        </w:tabs>
        <w:spacing w:before="0" w:after="0" w:line="364" w:lineRule="auto"/>
        <w:ind w:left="540" w:right="639" w:firstLine="480"/>
        <w:jc w:val="both"/>
        <w:rPr>
          <w:sz w:val="24"/>
        </w:rPr>
      </w:pPr>
      <w:r>
        <w:rPr>
          <w:spacing w:val="-6"/>
          <w:sz w:val="24"/>
        </w:rPr>
        <w:t>本工程量清单中所列工程数量是估算的或设计的预计数量，仅作为投标报价的共</w:t>
      </w:r>
      <w:r>
        <w:rPr>
          <w:sz w:val="24"/>
        </w:rPr>
        <w:t>同基础，不能作为最终结算与支付的依据。实际支付应按实际完成的工程量，由承包人按计量支付规则规定的计量方法，以监理人认可的尺寸、断面计量，按本工程量清单的</w:t>
      </w:r>
      <w:r>
        <w:rPr>
          <w:spacing w:val="-6"/>
          <w:sz w:val="24"/>
        </w:rPr>
        <w:t xml:space="preserve">单价或总额价计算支付金额；或者，根据具体情况，按合同条款第 </w:t>
      </w:r>
      <w:r>
        <w:rPr>
          <w:sz w:val="24"/>
        </w:rPr>
        <w:t>15.4</w:t>
      </w:r>
      <w:r>
        <w:rPr>
          <w:spacing w:val="-13"/>
          <w:sz w:val="24"/>
        </w:rPr>
        <w:t xml:space="preserve"> 款的规定，由监</w:t>
      </w:r>
      <w:r>
        <w:rPr>
          <w:sz w:val="24"/>
        </w:rPr>
        <w:t>理人确定的单价或总额价计算支付额。</w:t>
      </w:r>
    </w:p>
    <w:p>
      <w:pPr>
        <w:pStyle w:val="10"/>
        <w:numPr>
          <w:ilvl w:val="1"/>
          <w:numId w:val="117"/>
        </w:numPr>
        <w:tabs>
          <w:tab w:val="left" w:pos="1441"/>
        </w:tabs>
        <w:spacing w:before="0" w:after="0" w:line="364" w:lineRule="auto"/>
        <w:ind w:left="540" w:right="639" w:firstLine="480"/>
        <w:jc w:val="both"/>
        <w:rPr>
          <w:sz w:val="24"/>
        </w:rPr>
      </w:pPr>
      <w:r>
        <w:rPr>
          <w:spacing w:val="-1"/>
          <w:sz w:val="24"/>
        </w:rPr>
        <w:t>工程量清单各章是按 “计量支付规则”的相应章次编号的，因此，工程量清单</w:t>
      </w:r>
      <w:r>
        <w:rPr>
          <w:sz w:val="24"/>
        </w:rPr>
        <w:t>中各章的工程子目的范围与计量等应与“计量支付规则”相应章节的范围、计量与支付条款结合起来理解或解释。</w:t>
      </w:r>
    </w:p>
    <w:p>
      <w:pPr>
        <w:pStyle w:val="10"/>
        <w:numPr>
          <w:ilvl w:val="1"/>
          <w:numId w:val="117"/>
        </w:numPr>
        <w:tabs>
          <w:tab w:val="left" w:pos="1441"/>
        </w:tabs>
        <w:spacing w:before="0" w:after="0" w:line="364" w:lineRule="auto"/>
        <w:ind w:left="540" w:right="639" w:firstLine="480"/>
        <w:jc w:val="both"/>
        <w:rPr>
          <w:sz w:val="24"/>
        </w:rPr>
      </w:pPr>
      <w:r>
        <w:rPr>
          <w:spacing w:val="-7"/>
          <w:sz w:val="24"/>
        </w:rPr>
        <w:t>对作业和材料的一般说明或规定，未重复写入工程量清单内，在给工程量清单各</w:t>
      </w:r>
      <w:r>
        <w:rPr>
          <w:sz w:val="24"/>
        </w:rPr>
        <w:t>子目标价前，应参阅 “计量支付规则”的有关内容。</w:t>
      </w:r>
    </w:p>
    <w:p>
      <w:pPr>
        <w:pStyle w:val="10"/>
        <w:numPr>
          <w:ilvl w:val="1"/>
          <w:numId w:val="117"/>
        </w:numPr>
        <w:tabs>
          <w:tab w:val="left" w:pos="1441"/>
        </w:tabs>
        <w:spacing w:before="0" w:after="0" w:line="362" w:lineRule="auto"/>
        <w:ind w:left="540" w:right="639" w:firstLine="480"/>
        <w:jc w:val="both"/>
        <w:rPr>
          <w:sz w:val="24"/>
        </w:rPr>
      </w:pPr>
      <w:r>
        <w:rPr>
          <w:spacing w:val="-7"/>
          <w:sz w:val="24"/>
        </w:rPr>
        <w:t>工程量清单中所列工程量的变动，丝毫不会降低或影响合同条款的效力，也不免</w:t>
      </w:r>
      <w:r>
        <w:rPr>
          <w:sz w:val="24"/>
        </w:rPr>
        <w:t>除承包人按规定的标准进行施工和修复缺陷的责任。</w:t>
      </w:r>
    </w:p>
    <w:p>
      <w:pPr>
        <w:spacing w:after="0" w:line="362" w:lineRule="auto"/>
        <w:jc w:val="both"/>
        <w:rPr>
          <w:sz w:val="24"/>
        </w:rPr>
        <w:sectPr>
          <w:pgSz w:w="11910" w:h="16840"/>
          <w:pgMar w:top="1380" w:right="720" w:bottom="1080" w:left="820" w:header="746" w:footer="891" w:gutter="0"/>
          <w:cols w:space="720" w:num="1"/>
        </w:sectPr>
      </w:pPr>
    </w:p>
    <w:p>
      <w:pPr>
        <w:pStyle w:val="10"/>
        <w:numPr>
          <w:ilvl w:val="1"/>
          <w:numId w:val="117"/>
        </w:numPr>
        <w:tabs>
          <w:tab w:val="left" w:pos="1441"/>
        </w:tabs>
        <w:spacing w:before="61" w:after="0" w:line="364" w:lineRule="auto"/>
        <w:ind w:left="540" w:right="524" w:firstLine="480"/>
        <w:jc w:val="left"/>
        <w:rPr>
          <w:sz w:val="24"/>
        </w:rPr>
      </w:pPr>
      <w:r>
        <w:rPr>
          <w:spacing w:val="-1"/>
          <w:sz w:val="24"/>
        </w:rPr>
        <w:t>图纸中所列的工程数量表及数量汇总表仅是提供资料，不是工程量清单的外延。</w:t>
      </w:r>
      <w:r>
        <w:rPr>
          <w:sz w:val="24"/>
        </w:rPr>
        <w:t>当图纸与工程量清单所列数量不一致时，以工程量清单所列数量作为报价的依据。</w:t>
      </w:r>
    </w:p>
    <w:p>
      <w:pPr>
        <w:pStyle w:val="4"/>
        <w:numPr>
          <w:ilvl w:val="0"/>
          <w:numId w:val="117"/>
        </w:numPr>
        <w:tabs>
          <w:tab w:val="left" w:pos="904"/>
        </w:tabs>
        <w:spacing w:before="0" w:after="0" w:line="306" w:lineRule="exact"/>
        <w:ind w:left="903" w:right="0" w:hanging="364"/>
        <w:jc w:val="left"/>
      </w:pPr>
      <w:r>
        <w:t>投标报价说明</w:t>
      </w:r>
    </w:p>
    <w:p>
      <w:pPr>
        <w:pStyle w:val="10"/>
        <w:numPr>
          <w:ilvl w:val="1"/>
          <w:numId w:val="117"/>
        </w:numPr>
        <w:tabs>
          <w:tab w:val="left" w:pos="1501"/>
        </w:tabs>
        <w:spacing w:before="160" w:after="0" w:line="240" w:lineRule="auto"/>
        <w:ind w:left="1500" w:right="0" w:hanging="481"/>
        <w:jc w:val="left"/>
        <w:rPr>
          <w:sz w:val="24"/>
        </w:rPr>
      </w:pPr>
      <w:r>
        <w:rPr>
          <w:sz w:val="24"/>
        </w:rPr>
        <w:t>工程量清单中的每一子目须填入单价或价格，且只允许有一个报价。</w:t>
      </w:r>
    </w:p>
    <w:p>
      <w:pPr>
        <w:pStyle w:val="10"/>
        <w:numPr>
          <w:ilvl w:val="1"/>
          <w:numId w:val="117"/>
        </w:numPr>
        <w:tabs>
          <w:tab w:val="left" w:pos="1501"/>
        </w:tabs>
        <w:spacing w:before="158" w:after="0" w:line="364" w:lineRule="auto"/>
        <w:ind w:left="540" w:right="519" w:firstLine="480"/>
        <w:jc w:val="left"/>
        <w:rPr>
          <w:sz w:val="24"/>
        </w:rPr>
      </w:pPr>
      <w:r>
        <w:rPr>
          <w:sz w:val="24"/>
        </w:rPr>
        <w:t>除非合同另有规定，工程量清单中有标价的单价和总额价均己包括了为实施和</w:t>
      </w:r>
      <w:r>
        <w:rPr>
          <w:spacing w:val="-4"/>
          <w:sz w:val="24"/>
        </w:rPr>
        <w:t>完成合同工程所需的劳务、材料、机械、质检</w:t>
      </w:r>
      <w:r>
        <w:rPr>
          <w:sz w:val="24"/>
        </w:rPr>
        <w:t>（自检</w:t>
      </w:r>
      <w:r>
        <w:rPr>
          <w:spacing w:val="-8"/>
          <w:sz w:val="24"/>
        </w:rPr>
        <w:t>）</w:t>
      </w:r>
      <w:r>
        <w:rPr>
          <w:spacing w:val="-7"/>
          <w:sz w:val="24"/>
        </w:rPr>
        <w:t>、安装、缺陷修复、管理、保险、</w:t>
      </w:r>
      <w:r>
        <w:rPr>
          <w:sz w:val="24"/>
        </w:rPr>
        <w:t>税费、利润等费用，以及合同明示或暗示的所有责任、义务和一般风险。</w:t>
      </w:r>
    </w:p>
    <w:p>
      <w:pPr>
        <w:pStyle w:val="10"/>
        <w:numPr>
          <w:ilvl w:val="1"/>
          <w:numId w:val="117"/>
        </w:numPr>
        <w:tabs>
          <w:tab w:val="left" w:pos="1501"/>
        </w:tabs>
        <w:spacing w:before="0" w:after="0" w:line="364" w:lineRule="auto"/>
        <w:ind w:left="540" w:right="639" w:firstLine="480"/>
        <w:jc w:val="both"/>
        <w:rPr>
          <w:sz w:val="24"/>
        </w:rPr>
      </w:pPr>
      <w:r>
        <w:rPr>
          <w:sz w:val="24"/>
        </w:rPr>
        <w:t>工程量清单中投标人没有填入单价或价格的子目，其费用视为己分摊在工程量清单中其他相关子目的单价或价格之中。承包人必须按监理人指令完成工程量清单中未填入单价或价格的子目，但不能得到结算与支付。</w:t>
      </w:r>
    </w:p>
    <w:p>
      <w:pPr>
        <w:pStyle w:val="10"/>
        <w:numPr>
          <w:ilvl w:val="1"/>
          <w:numId w:val="117"/>
        </w:numPr>
        <w:tabs>
          <w:tab w:val="left" w:pos="1501"/>
        </w:tabs>
        <w:spacing w:before="0" w:after="0" w:line="364" w:lineRule="auto"/>
        <w:ind w:left="540" w:right="639" w:firstLine="480"/>
        <w:jc w:val="both"/>
        <w:rPr>
          <w:sz w:val="24"/>
        </w:rPr>
      </w:pPr>
      <w:r>
        <w:rPr>
          <w:sz w:val="24"/>
        </w:rPr>
        <w:t>符合合同条款规定的全部费用应认为己被计入有标价的工程量清单所列各子目之中，未列子目不予计量的工作，其费用应视为己分摊在本合同工程的有关子目的单价或总额价之中。</w:t>
      </w:r>
    </w:p>
    <w:p>
      <w:pPr>
        <w:pStyle w:val="10"/>
        <w:numPr>
          <w:ilvl w:val="1"/>
          <w:numId w:val="117"/>
        </w:numPr>
        <w:tabs>
          <w:tab w:val="left" w:pos="1501"/>
        </w:tabs>
        <w:spacing w:before="0" w:after="0" w:line="364" w:lineRule="auto"/>
        <w:ind w:left="540" w:right="642" w:firstLine="480"/>
        <w:jc w:val="both"/>
        <w:rPr>
          <w:sz w:val="24"/>
        </w:rPr>
      </w:pPr>
      <w:r>
        <w:rPr>
          <w:sz w:val="24"/>
        </w:rPr>
        <w:t>承包人用于本合同工程的各类装备的提供、运输、维护、拆卸、拼装等支付的费用，己包括在工程量清单的单价与总额价之中。</w:t>
      </w:r>
    </w:p>
    <w:p>
      <w:pPr>
        <w:pStyle w:val="10"/>
        <w:numPr>
          <w:ilvl w:val="1"/>
          <w:numId w:val="117"/>
        </w:numPr>
        <w:tabs>
          <w:tab w:val="left" w:pos="1501"/>
        </w:tabs>
        <w:spacing w:before="0" w:after="0" w:line="306" w:lineRule="exact"/>
        <w:ind w:left="1500" w:right="0" w:hanging="481"/>
        <w:jc w:val="both"/>
        <w:rPr>
          <w:sz w:val="24"/>
        </w:rPr>
      </w:pPr>
      <w:r>
        <w:rPr>
          <w:sz w:val="24"/>
        </w:rPr>
        <w:t>工程量清单中各项金额均以人民币（元）结算。</w:t>
      </w:r>
    </w:p>
    <w:p>
      <w:pPr>
        <w:pStyle w:val="10"/>
        <w:numPr>
          <w:ilvl w:val="1"/>
          <w:numId w:val="117"/>
        </w:numPr>
        <w:tabs>
          <w:tab w:val="left" w:pos="1620"/>
          <w:tab w:val="left" w:pos="1621"/>
        </w:tabs>
        <w:spacing w:before="156" w:after="0" w:line="240" w:lineRule="auto"/>
        <w:ind w:left="1620" w:right="0" w:hanging="601"/>
        <w:jc w:val="left"/>
        <w:rPr>
          <w:sz w:val="24"/>
        </w:rPr>
      </w:pPr>
      <w:r>
        <w:rPr>
          <w:sz w:val="24"/>
        </w:rPr>
        <w:t>暂列金额（不含计日工总额）的数量及拟用子目的说明：</w:t>
      </w:r>
    </w:p>
    <w:p>
      <w:pPr>
        <w:pStyle w:val="10"/>
        <w:numPr>
          <w:ilvl w:val="1"/>
          <w:numId w:val="117"/>
        </w:numPr>
        <w:tabs>
          <w:tab w:val="left" w:pos="1620"/>
          <w:tab w:val="left" w:pos="1621"/>
        </w:tabs>
        <w:spacing w:before="159" w:after="0" w:line="240" w:lineRule="auto"/>
        <w:ind w:left="1620" w:right="0" w:hanging="601"/>
        <w:jc w:val="left"/>
        <w:rPr>
          <w:sz w:val="24"/>
        </w:rPr>
      </w:pPr>
      <w:r>
        <w:rPr>
          <w:sz w:val="24"/>
        </w:rPr>
        <w:t>暂估价的数量及拟用子目的说明：</w:t>
      </w:r>
    </w:p>
    <w:p>
      <w:pPr>
        <w:pStyle w:val="4"/>
        <w:numPr>
          <w:ilvl w:val="0"/>
          <w:numId w:val="117"/>
        </w:numPr>
        <w:tabs>
          <w:tab w:val="left" w:pos="904"/>
        </w:tabs>
        <w:spacing w:before="160" w:after="0" w:line="240" w:lineRule="auto"/>
        <w:ind w:left="903" w:right="0" w:hanging="364"/>
        <w:jc w:val="left"/>
      </w:pPr>
      <w:r>
        <w:t>计日工说明</w:t>
      </w:r>
    </w:p>
    <w:p>
      <w:pPr>
        <w:pStyle w:val="10"/>
        <w:numPr>
          <w:ilvl w:val="1"/>
          <w:numId w:val="117"/>
        </w:numPr>
        <w:tabs>
          <w:tab w:val="left" w:pos="1501"/>
        </w:tabs>
        <w:spacing w:before="158" w:after="0" w:line="240" w:lineRule="auto"/>
        <w:ind w:left="1500" w:right="0" w:hanging="481"/>
        <w:jc w:val="left"/>
        <w:rPr>
          <w:sz w:val="24"/>
        </w:rPr>
      </w:pPr>
      <w:r>
        <w:rPr>
          <w:sz w:val="24"/>
        </w:rPr>
        <w:t>总则</w:t>
      </w:r>
    </w:p>
    <w:p>
      <w:pPr>
        <w:pStyle w:val="5"/>
        <w:spacing w:before="161"/>
        <w:ind w:left="1020"/>
      </w:pPr>
      <w:r>
        <w:t>(1）本说明应参照通用合同条 款第 15.7 款一并理解 。</w:t>
      </w:r>
    </w:p>
    <w:p>
      <w:pPr>
        <w:pStyle w:val="5"/>
        <w:spacing w:before="158" w:line="364" w:lineRule="auto"/>
        <w:ind w:right="642" w:firstLine="480"/>
      </w:pPr>
      <w:r>
        <w:t>(2）未经监理人书面指令，任何工程不得按计日工施工；接到监理人按计日工施工的书面指令，承包人也不得拒绝。</w:t>
      </w:r>
    </w:p>
    <w:p>
      <w:pPr>
        <w:pStyle w:val="5"/>
        <w:spacing w:before="1" w:line="364" w:lineRule="auto"/>
        <w:ind w:right="639" w:firstLine="480"/>
        <w:jc w:val="both"/>
      </w:pPr>
      <w:r>
        <w:t>(3）投标人应在计日工单价表中填列计日工子目的基本单价或租价，该基本单价或租价适用于监理人指令的任何数量的十日工的结算与支付。计日工的劳务、材料和施工机械由招标人（或发包人）列出正常的估计数量，投标人报出单价，计算出计日工总额后列入工程量清单汇总表中并进入评标价。</w:t>
      </w:r>
    </w:p>
    <w:p>
      <w:pPr>
        <w:pStyle w:val="5"/>
        <w:spacing w:line="303" w:lineRule="exact"/>
        <w:ind w:left="1020"/>
      </w:pPr>
      <w:r>
        <w:t>(4）计日工不调价。</w:t>
      </w:r>
    </w:p>
    <w:p>
      <w:pPr>
        <w:pStyle w:val="10"/>
        <w:numPr>
          <w:ilvl w:val="1"/>
          <w:numId w:val="117"/>
        </w:numPr>
        <w:tabs>
          <w:tab w:val="left" w:pos="1501"/>
        </w:tabs>
        <w:spacing w:before="160" w:after="0" w:line="240" w:lineRule="auto"/>
        <w:ind w:left="1500" w:right="0" w:hanging="481"/>
        <w:jc w:val="left"/>
        <w:rPr>
          <w:sz w:val="24"/>
        </w:rPr>
      </w:pPr>
      <w:r>
        <w:rPr>
          <w:sz w:val="24"/>
        </w:rPr>
        <w:t>计日工劳务</w:t>
      </w:r>
    </w:p>
    <w:p>
      <w:pPr>
        <w:pStyle w:val="5"/>
        <w:spacing w:before="161"/>
        <w:ind w:left="1020"/>
      </w:pPr>
      <w:r>
        <w:t>(1）在计算应付给承包人的计日工工资时，工时应从工人到达施工现场，并开始从</w:t>
      </w:r>
    </w:p>
    <w:p>
      <w:pPr>
        <w:spacing w:after="0"/>
        <w:sectPr>
          <w:pgSz w:w="11910" w:h="16840"/>
          <w:pgMar w:top="1380" w:right="720" w:bottom="1080" w:left="820" w:header="746" w:footer="891" w:gutter="0"/>
          <w:cols w:space="720" w:num="1"/>
        </w:sectPr>
      </w:pPr>
    </w:p>
    <w:p>
      <w:pPr>
        <w:pStyle w:val="5"/>
        <w:spacing w:before="61" w:line="364" w:lineRule="auto"/>
        <w:ind w:right="639"/>
        <w:jc w:val="both"/>
      </w:pPr>
      <w:r>
        <w:t>事指定的工作算起，到返回原出发地点为止，扣去用餐和休息的时间。只有直接从事指定的工作，且能胜任该工作的工人才能计工，随同工人一起做工的班长应计算在内，但不包括领工（工长）和其他质检管理人员。</w:t>
      </w:r>
    </w:p>
    <w:p>
      <w:pPr>
        <w:pStyle w:val="5"/>
        <w:spacing w:line="364" w:lineRule="auto"/>
        <w:ind w:right="639" w:firstLine="480"/>
        <w:jc w:val="both"/>
      </w:pPr>
      <w:r>
        <w:rPr>
          <w:spacing w:val="-20"/>
        </w:rPr>
        <w:t>(2）</w:t>
      </w:r>
      <w:r>
        <w:rPr>
          <w:spacing w:val="-6"/>
        </w:rPr>
        <w:t>承包人可以得到用于计日工劳务的全部工时的支付，此支付按承包人填报的“计</w:t>
      </w:r>
      <w:r>
        <w:t>日工劳务单价表”所列单价计算，该单价应包括基本单价及承包人的管理费、税费、利润等所有附加费，说明如下：</w:t>
      </w:r>
    </w:p>
    <w:p>
      <w:pPr>
        <w:pStyle w:val="10"/>
        <w:numPr>
          <w:ilvl w:val="0"/>
          <w:numId w:val="118"/>
        </w:numPr>
        <w:tabs>
          <w:tab w:val="left" w:pos="1381"/>
        </w:tabs>
        <w:spacing w:before="0" w:after="0" w:line="364" w:lineRule="auto"/>
        <w:ind w:left="540" w:right="639" w:firstLine="480"/>
        <w:jc w:val="both"/>
        <w:rPr>
          <w:sz w:val="24"/>
        </w:rPr>
      </w:pPr>
      <w:r>
        <w:rPr>
          <w:sz w:val="24"/>
        </w:rPr>
        <w:t>劳务基本单价包括 ：承包人劳务的全部直接费用，如：工资、加班费、津贴、福利费及劳动保护费等。</w:t>
      </w:r>
    </w:p>
    <w:p>
      <w:pPr>
        <w:pStyle w:val="10"/>
        <w:numPr>
          <w:ilvl w:val="0"/>
          <w:numId w:val="118"/>
        </w:numPr>
        <w:tabs>
          <w:tab w:val="left" w:pos="1381"/>
        </w:tabs>
        <w:spacing w:before="0" w:after="0" w:line="362" w:lineRule="auto"/>
        <w:ind w:left="540" w:right="639" w:firstLine="480"/>
        <w:jc w:val="both"/>
        <w:rPr>
          <w:sz w:val="24"/>
        </w:rPr>
      </w:pPr>
      <w:r>
        <w:rPr>
          <w:spacing w:val="-9"/>
          <w:sz w:val="24"/>
        </w:rPr>
        <w:t>承包人的利润、管理、质检、保险、税费；易耗品的使用，水电及照明费，工作</w:t>
      </w:r>
      <w:r>
        <w:rPr>
          <w:sz w:val="24"/>
        </w:rPr>
        <w:t>台、脚于架、临时设施费，于动机具与工具的使用及维修，以及上述各项伴随而来的费用。</w:t>
      </w:r>
    </w:p>
    <w:p>
      <w:pPr>
        <w:pStyle w:val="10"/>
        <w:numPr>
          <w:ilvl w:val="1"/>
          <w:numId w:val="117"/>
        </w:numPr>
        <w:tabs>
          <w:tab w:val="left" w:pos="1501"/>
        </w:tabs>
        <w:spacing w:before="3" w:after="0" w:line="240" w:lineRule="auto"/>
        <w:ind w:left="1500" w:right="0" w:hanging="481"/>
        <w:jc w:val="both"/>
        <w:rPr>
          <w:sz w:val="24"/>
        </w:rPr>
      </w:pPr>
      <w:r>
        <w:rPr>
          <w:sz w:val="24"/>
        </w:rPr>
        <w:t>计日工材料</w:t>
      </w:r>
    </w:p>
    <w:p>
      <w:pPr>
        <w:pStyle w:val="5"/>
        <w:spacing w:before="161" w:line="364" w:lineRule="auto"/>
        <w:ind w:right="639" w:firstLine="480"/>
        <w:jc w:val="both"/>
      </w:pPr>
      <w:r>
        <w:t>承包人可以得到计日工使用的材料费用（上述 3.2 款己计入劳务费内的材料费 用除外，此费用按承包人“计日工材料单价表”中所填报的单价计算，该单价应包括基本单价及承包人的管理费、税费、利润等所有附加费，说明如下：</w:t>
      </w:r>
    </w:p>
    <w:p>
      <w:pPr>
        <w:pStyle w:val="5"/>
        <w:spacing w:line="364" w:lineRule="auto"/>
        <w:ind w:right="639" w:firstLine="480"/>
        <w:jc w:val="both"/>
      </w:pPr>
      <w:r>
        <w:rPr>
          <w:spacing w:val="-4"/>
        </w:rPr>
        <w:t>(1）</w:t>
      </w:r>
      <w:r>
        <w:rPr>
          <w:spacing w:val="-1"/>
        </w:rPr>
        <w:t>材料基本单价按供货价加运杂费</w:t>
      </w:r>
      <w:r>
        <w:t>（到达承包人现场仓库</w:t>
      </w:r>
      <w:r>
        <w:rPr>
          <w:spacing w:val="-12"/>
        </w:rPr>
        <w:t>）</w:t>
      </w:r>
      <w:r>
        <w:rPr>
          <w:spacing w:val="-7"/>
        </w:rPr>
        <w:t>、保险费、仓库 管理</w:t>
      </w:r>
      <w:r>
        <w:t>费以及运输损耗等计算；</w:t>
      </w:r>
    </w:p>
    <w:p>
      <w:pPr>
        <w:pStyle w:val="5"/>
        <w:spacing w:line="306" w:lineRule="exact"/>
        <w:ind w:left="1020"/>
      </w:pPr>
      <w:r>
        <w:t>(2）承包人的利润、管理、质检、保险、税费及其他附加费；</w:t>
      </w:r>
    </w:p>
    <w:p>
      <w:pPr>
        <w:pStyle w:val="5"/>
        <w:spacing w:before="157"/>
        <w:ind w:left="1020"/>
      </w:pPr>
      <w:r>
        <w:t>(3）从现场运至使用地点的人工费和施工机械使用费不包括在土述基本单价内。</w:t>
      </w:r>
    </w:p>
    <w:p>
      <w:pPr>
        <w:pStyle w:val="10"/>
        <w:numPr>
          <w:ilvl w:val="1"/>
          <w:numId w:val="117"/>
        </w:numPr>
        <w:tabs>
          <w:tab w:val="left" w:pos="1501"/>
        </w:tabs>
        <w:spacing w:before="158" w:after="0" w:line="240" w:lineRule="auto"/>
        <w:ind w:left="1500" w:right="0" w:hanging="481"/>
        <w:jc w:val="both"/>
        <w:rPr>
          <w:sz w:val="24"/>
        </w:rPr>
      </w:pPr>
      <w:r>
        <w:rPr>
          <w:sz w:val="24"/>
        </w:rPr>
        <w:t>计日工施工机械</w:t>
      </w:r>
    </w:p>
    <w:p>
      <w:pPr>
        <w:pStyle w:val="5"/>
        <w:spacing w:before="161" w:line="364" w:lineRule="auto"/>
        <w:ind w:right="639" w:firstLine="480"/>
        <w:jc w:val="both"/>
      </w:pPr>
      <w:r>
        <w:t>(1）承包人可以得到用于计日工作业的施工机械费用的支付，该费用按承包人填报的“计日工施工机械单价表”中的租价计算。该租价应包括施工机械的折旧、利息、维修、保养、零配件、油燃料、保险和其他消耗品的费用以及全部有关使用这些机械的管理费、税费、利润和司机与助手的劳务费等费用。</w:t>
      </w:r>
    </w:p>
    <w:p>
      <w:pPr>
        <w:pStyle w:val="5"/>
        <w:spacing w:line="364" w:lineRule="auto"/>
        <w:ind w:right="470" w:firstLine="480"/>
      </w:pPr>
      <w: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pPr>
        <w:pStyle w:val="4"/>
        <w:numPr>
          <w:ilvl w:val="0"/>
          <w:numId w:val="117"/>
        </w:numPr>
        <w:tabs>
          <w:tab w:val="left" w:pos="1023"/>
          <w:tab w:val="left" w:pos="1024"/>
        </w:tabs>
        <w:spacing w:before="0" w:after="0" w:line="304" w:lineRule="exact"/>
        <w:ind w:left="1023" w:right="0" w:hanging="484"/>
        <w:jc w:val="left"/>
      </w:pPr>
      <w:r>
        <w:t>其他说明</w:t>
      </w:r>
    </w:p>
    <w:p>
      <w:pPr>
        <w:pStyle w:val="4"/>
        <w:numPr>
          <w:ilvl w:val="1"/>
          <w:numId w:val="117"/>
        </w:numPr>
        <w:tabs>
          <w:tab w:val="left" w:pos="1444"/>
        </w:tabs>
        <w:spacing w:before="158" w:after="0" w:line="364" w:lineRule="auto"/>
        <w:ind w:left="540" w:right="730" w:firstLine="480"/>
        <w:jc w:val="left"/>
      </w:pPr>
      <w:r>
        <w:t>最高投标限价的清单报价，主要材料价的查询网站：全国公共资源交易网（</w:t>
      </w:r>
      <w:r>
        <w:rPr>
          <w:spacing w:val="-11"/>
        </w:rPr>
        <w:t>河</w:t>
      </w:r>
      <w:r>
        <w:t>南省·商城县）</w:t>
      </w:r>
    </w:p>
    <w:p>
      <w:pPr>
        <w:spacing w:after="0" w:line="364" w:lineRule="auto"/>
        <w:jc w:val="left"/>
        <w:sectPr>
          <w:pgSz w:w="11910" w:h="16840"/>
          <w:pgMar w:top="1380" w:right="720" w:bottom="1080" w:left="820" w:header="746" w:footer="891" w:gutter="0"/>
          <w:cols w:space="720" w:num="1"/>
        </w:sectPr>
      </w:pPr>
    </w:p>
    <w:p>
      <w:pPr>
        <w:pStyle w:val="4"/>
        <w:numPr>
          <w:ilvl w:val="1"/>
          <w:numId w:val="119"/>
        </w:numPr>
        <w:tabs>
          <w:tab w:val="left" w:pos="1444"/>
        </w:tabs>
        <w:spacing w:before="61" w:after="0" w:line="364" w:lineRule="auto"/>
        <w:ind w:left="540" w:right="639" w:firstLine="480"/>
        <w:jc w:val="both"/>
      </w:pPr>
      <w:r>
        <w:rPr>
          <w:spacing w:val="-3"/>
        </w:rPr>
        <w:t>最高投标限价的编制已按照“豫交文〔</w:t>
      </w:r>
      <w:r>
        <w:t>2017</w:t>
      </w:r>
      <w:r>
        <w:rPr>
          <w:spacing w:val="-20"/>
        </w:rPr>
        <w:t>〕</w:t>
      </w:r>
      <w:r>
        <w:t>140</w:t>
      </w:r>
      <w:r>
        <w:rPr>
          <w:spacing w:val="-11"/>
        </w:rPr>
        <w:t xml:space="preserve"> 号”《河南省交通运输厅关于发布河南省公路建设养护工程施工扬尘污染防治专项增加费费率标准的通知》执行，投标人应将该项费用考虑在投标报价中，不再单列子目。</w:t>
      </w:r>
    </w:p>
    <w:p>
      <w:pPr>
        <w:pStyle w:val="4"/>
        <w:numPr>
          <w:ilvl w:val="1"/>
          <w:numId w:val="119"/>
        </w:numPr>
        <w:tabs>
          <w:tab w:val="left" w:pos="1444"/>
        </w:tabs>
        <w:spacing w:before="0" w:after="0" w:line="364" w:lineRule="auto"/>
        <w:ind w:left="540" w:right="670" w:firstLine="480"/>
        <w:jc w:val="both"/>
      </w:pPr>
      <w:r>
        <w:t>最高投标限价中混凝土相关单价按商品混合料计算。投标人报价中水稳和沥青</w:t>
      </w:r>
      <w:r>
        <w:rPr>
          <w:spacing w:val="-1"/>
        </w:rPr>
        <w:t>拌合站的租赁或安拆、场地处理等费用均分摊在相关子目报价中，不再另计，实际采用</w:t>
      </w:r>
      <w:r>
        <w:t>其他供料方式，费用不予调整。</w:t>
      </w:r>
    </w:p>
    <w:p>
      <w:pPr>
        <w:pStyle w:val="4"/>
        <w:numPr>
          <w:ilvl w:val="1"/>
          <w:numId w:val="119"/>
        </w:numPr>
        <w:tabs>
          <w:tab w:val="left" w:pos="1444"/>
        </w:tabs>
        <w:spacing w:before="0" w:after="0" w:line="305" w:lineRule="exact"/>
        <w:ind w:left="1443" w:right="0" w:hanging="424"/>
        <w:jc w:val="both"/>
      </w:pPr>
      <w:r>
        <w:t>投标人应自行调查取弃土场位置后进行报价，土方运距在施工阶段不予调整。</w:t>
      </w:r>
    </w:p>
    <w:p>
      <w:pPr>
        <w:pStyle w:val="4"/>
        <w:numPr>
          <w:ilvl w:val="1"/>
          <w:numId w:val="119"/>
        </w:numPr>
        <w:tabs>
          <w:tab w:val="left" w:pos="1446"/>
        </w:tabs>
        <w:spacing w:before="159" w:after="0" w:line="364" w:lineRule="auto"/>
        <w:ind w:left="540" w:right="642" w:firstLine="480"/>
        <w:jc w:val="both"/>
      </w:pPr>
      <w:r>
        <w:t>保通费包含招标图纸中围挡、喷淋设施、临时标志、黄闪灯、警示灯、水马、临时标线、保通车辆及所需人员等所有费用。</w:t>
      </w:r>
    </w:p>
    <w:p>
      <w:pPr>
        <w:spacing w:after="0" w:line="364" w:lineRule="auto"/>
        <w:jc w:val="both"/>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
        <w:ind w:left="0"/>
        <w:rPr>
          <w:b/>
          <w:sz w:val="18"/>
        </w:rPr>
      </w:pPr>
    </w:p>
    <w:p>
      <w:pPr>
        <w:pStyle w:val="2"/>
      </w:pPr>
      <w:bookmarkStart w:id="120" w:name="第二卷"/>
      <w:bookmarkEnd w:id="120"/>
      <w:bookmarkStart w:id="121" w:name="_bookmark6"/>
      <w:bookmarkEnd w:id="121"/>
      <w:bookmarkStart w:id="122" w:name="_bookmark7"/>
      <w:bookmarkEnd w:id="122"/>
      <w:r>
        <w:t>第二卷</w:t>
      </w:r>
    </w:p>
    <w:p>
      <w:pPr>
        <w:spacing w:after="0"/>
        <w:sectPr>
          <w:footerReference r:id="rId16" w:type="default"/>
          <w:pgSz w:w="11910" w:h="16840"/>
          <w:pgMar w:top="1380" w:right="720" w:bottom="1080" w:left="820" w:header="746" w:footer="891" w:gutter="0"/>
          <w:pgNumType w:start="90"/>
          <w:cols w:space="720" w:num="1"/>
        </w:sectPr>
      </w:pPr>
    </w:p>
    <w:p>
      <w:pPr>
        <w:pStyle w:val="5"/>
        <w:ind w:left="0"/>
        <w:rPr>
          <w:b/>
          <w:sz w:val="20"/>
        </w:rPr>
      </w:pPr>
    </w:p>
    <w:p>
      <w:pPr>
        <w:pStyle w:val="5"/>
        <w:ind w:left="0"/>
        <w:rPr>
          <w:b/>
          <w:sz w:val="20"/>
        </w:rPr>
      </w:pPr>
    </w:p>
    <w:p>
      <w:pPr>
        <w:pStyle w:val="5"/>
        <w:spacing w:before="11"/>
        <w:ind w:left="0"/>
        <w:rPr>
          <w:b/>
          <w:sz w:val="14"/>
        </w:rPr>
      </w:pPr>
    </w:p>
    <w:p>
      <w:pPr>
        <w:pStyle w:val="2"/>
        <w:tabs>
          <w:tab w:val="left" w:pos="1125"/>
        </w:tabs>
        <w:spacing w:before="62"/>
        <w:ind w:left="0" w:right="98"/>
      </w:pPr>
      <w:bookmarkStart w:id="123" w:name="第六章  工程概况及图纸"/>
      <w:bookmarkEnd w:id="123"/>
      <w:r>
        <w:t>第六章</w:t>
      </w:r>
      <w:r>
        <w:tab/>
      </w:r>
      <w:r>
        <w:t>工程概况及图纸</w:t>
      </w:r>
    </w:p>
    <w:p>
      <w:pPr>
        <w:pStyle w:val="5"/>
        <w:ind w:left="0"/>
        <w:rPr>
          <w:b/>
          <w:sz w:val="28"/>
        </w:rPr>
      </w:pPr>
    </w:p>
    <w:p>
      <w:pPr>
        <w:pStyle w:val="5"/>
        <w:spacing w:before="9"/>
        <w:ind w:left="0"/>
        <w:rPr>
          <w:b/>
          <w:sz w:val="38"/>
        </w:rPr>
      </w:pPr>
    </w:p>
    <w:p>
      <w:pPr>
        <w:spacing w:before="1"/>
        <w:ind w:left="262" w:right="360" w:firstLine="0"/>
        <w:jc w:val="center"/>
        <w:rPr>
          <w:b/>
          <w:sz w:val="28"/>
        </w:rPr>
      </w:pPr>
      <w:bookmarkStart w:id="124" w:name="一、工程概况"/>
      <w:bookmarkEnd w:id="124"/>
      <w:r>
        <w:rPr>
          <w:b/>
          <w:sz w:val="28"/>
        </w:rPr>
        <w:t>一、工程概况</w:t>
      </w:r>
    </w:p>
    <w:p>
      <w:pPr>
        <w:pStyle w:val="5"/>
        <w:ind w:left="0"/>
        <w:rPr>
          <w:b/>
          <w:sz w:val="28"/>
        </w:rPr>
      </w:pPr>
    </w:p>
    <w:p>
      <w:pPr>
        <w:pStyle w:val="5"/>
        <w:spacing w:before="12"/>
        <w:ind w:left="0"/>
        <w:rPr>
          <w:b/>
          <w:sz w:val="37"/>
        </w:rPr>
      </w:pPr>
    </w:p>
    <w:p>
      <w:pPr>
        <w:pStyle w:val="5"/>
        <w:ind w:left="1020"/>
      </w:pPr>
      <w:r>
        <w:t>1、工程名称：商城县 2022 年农村公路路网改善工程 ；</w:t>
      </w:r>
    </w:p>
    <w:p>
      <w:pPr>
        <w:pStyle w:val="5"/>
        <w:spacing w:before="161"/>
        <w:ind w:left="1020"/>
      </w:pPr>
      <w:r>
        <w:t>2、招标编号：sczb2022081</w:t>
      </w:r>
    </w:p>
    <w:p>
      <w:pPr>
        <w:pStyle w:val="5"/>
        <w:spacing w:before="158"/>
        <w:ind w:left="1020"/>
      </w:pPr>
      <w:r>
        <w:t>3、工程地址：商城县境内；</w:t>
      </w:r>
    </w:p>
    <w:p>
      <w:pPr>
        <w:pStyle w:val="5"/>
        <w:spacing w:before="160" w:line="362" w:lineRule="auto"/>
        <w:ind w:right="639" w:firstLine="480"/>
      </w:pPr>
      <w:r>
        <w:t>4、招标范围：施工图纸所含全部内容及缺陷责任期的工程施工,具体工程量以招标工程量清单为准；</w:t>
      </w:r>
    </w:p>
    <w:p>
      <w:pPr>
        <w:pStyle w:val="5"/>
        <w:spacing w:before="5"/>
        <w:ind w:left="1020"/>
      </w:pPr>
      <w:r>
        <w:t xml:space="preserve">5、标段划分：共分为 </w:t>
      </w:r>
      <w:r>
        <w:rPr>
          <w:u w:val="single"/>
        </w:rPr>
        <w:t>1</w:t>
      </w:r>
      <w:r>
        <w:t xml:space="preserve"> 个合同段，具体情况详见下表：</w:t>
      </w:r>
    </w:p>
    <w:p>
      <w:pPr>
        <w:pStyle w:val="5"/>
        <w:spacing w:before="3"/>
        <w:ind w:left="0"/>
        <w:rPr>
          <w:sz w:val="12"/>
        </w:rPr>
      </w:pPr>
    </w:p>
    <w:tbl>
      <w:tblPr>
        <w:tblStyle w:val="7"/>
        <w:tblW w:w="0" w:type="auto"/>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26"/>
        <w:gridCol w:w="3412"/>
        <w:gridCol w:w="3098"/>
        <w:gridCol w:w="10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826" w:type="dxa"/>
          </w:tcPr>
          <w:p>
            <w:pPr>
              <w:pStyle w:val="11"/>
              <w:spacing w:before="2" w:line="251" w:lineRule="exact"/>
              <w:ind w:left="188" w:right="184"/>
              <w:jc w:val="center"/>
              <w:rPr>
                <w:b/>
                <w:sz w:val="21"/>
              </w:rPr>
            </w:pPr>
            <w:r>
              <w:rPr>
                <w:b/>
                <w:sz w:val="21"/>
              </w:rPr>
              <w:t>合同段划分</w:t>
            </w:r>
          </w:p>
        </w:tc>
        <w:tc>
          <w:tcPr>
            <w:tcW w:w="3412" w:type="dxa"/>
          </w:tcPr>
          <w:p>
            <w:pPr>
              <w:pStyle w:val="11"/>
              <w:spacing w:before="2" w:line="251" w:lineRule="exact"/>
              <w:ind w:left="1262" w:right="1256"/>
              <w:jc w:val="center"/>
              <w:rPr>
                <w:b/>
                <w:sz w:val="21"/>
              </w:rPr>
            </w:pPr>
            <w:r>
              <w:rPr>
                <w:b/>
                <w:sz w:val="21"/>
              </w:rPr>
              <w:t>工程名称</w:t>
            </w:r>
          </w:p>
        </w:tc>
        <w:tc>
          <w:tcPr>
            <w:tcW w:w="3098" w:type="dxa"/>
          </w:tcPr>
          <w:p>
            <w:pPr>
              <w:pStyle w:val="11"/>
              <w:spacing w:before="2" w:line="251" w:lineRule="exact"/>
              <w:ind w:left="1106" w:right="1097"/>
              <w:jc w:val="center"/>
              <w:rPr>
                <w:b/>
                <w:sz w:val="21"/>
              </w:rPr>
            </w:pPr>
            <w:r>
              <w:rPr>
                <w:b/>
                <w:sz w:val="21"/>
              </w:rPr>
              <w:t>建设规模</w:t>
            </w:r>
          </w:p>
        </w:tc>
        <w:tc>
          <w:tcPr>
            <w:tcW w:w="1077" w:type="dxa"/>
          </w:tcPr>
          <w:p>
            <w:pPr>
              <w:pStyle w:val="11"/>
              <w:spacing w:before="2" w:line="251" w:lineRule="exact"/>
              <w:ind w:left="17" w:right="7"/>
              <w:jc w:val="center"/>
              <w:rPr>
                <w:b/>
                <w:sz w:val="21"/>
              </w:rPr>
            </w:pPr>
            <w:r>
              <w:rPr>
                <w:b/>
                <w:sz w:val="21"/>
              </w:rPr>
              <w:t>计划工期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826" w:type="dxa"/>
          </w:tcPr>
          <w:p>
            <w:pPr>
              <w:pStyle w:val="11"/>
              <w:spacing w:before="3"/>
              <w:rPr>
                <w:sz w:val="20"/>
              </w:rPr>
            </w:pPr>
          </w:p>
          <w:p>
            <w:pPr>
              <w:pStyle w:val="11"/>
              <w:ind w:left="192" w:right="184"/>
              <w:jc w:val="center"/>
              <w:rPr>
                <w:sz w:val="20"/>
              </w:rPr>
            </w:pPr>
            <w:r>
              <w:rPr>
                <w:sz w:val="20"/>
              </w:rPr>
              <w:t>SCLWGC-2022-02</w:t>
            </w:r>
          </w:p>
        </w:tc>
        <w:tc>
          <w:tcPr>
            <w:tcW w:w="3412" w:type="dxa"/>
          </w:tcPr>
          <w:p>
            <w:pPr>
              <w:pStyle w:val="11"/>
              <w:spacing w:before="130" w:line="242" w:lineRule="auto"/>
              <w:ind w:left="1505" w:right="144" w:hanging="1352"/>
              <w:rPr>
                <w:sz w:val="20"/>
              </w:rPr>
            </w:pPr>
            <w:r>
              <w:rPr>
                <w:spacing w:val="-14"/>
                <w:sz w:val="20"/>
              </w:rPr>
              <w:t xml:space="preserve">商城县 </w:t>
            </w:r>
            <w:r>
              <w:rPr>
                <w:sz w:val="20"/>
              </w:rPr>
              <w:t>X005</w:t>
            </w:r>
            <w:r>
              <w:rPr>
                <w:spacing w:val="-8"/>
                <w:sz w:val="20"/>
              </w:rPr>
              <w:t xml:space="preserve"> 观庙镇至双轮河段改建工程</w:t>
            </w:r>
          </w:p>
        </w:tc>
        <w:tc>
          <w:tcPr>
            <w:tcW w:w="3098" w:type="dxa"/>
          </w:tcPr>
          <w:p>
            <w:pPr>
              <w:pStyle w:val="11"/>
              <w:ind w:left="148"/>
              <w:rPr>
                <w:sz w:val="20"/>
              </w:rPr>
            </w:pPr>
            <w:r>
              <w:rPr>
                <w:spacing w:val="-18"/>
                <w:sz w:val="20"/>
              </w:rPr>
              <w:t xml:space="preserve">全长 </w:t>
            </w:r>
            <w:r>
              <w:rPr>
                <w:sz w:val="20"/>
              </w:rPr>
              <w:t>6.112</w:t>
            </w:r>
            <w:r>
              <w:rPr>
                <w:spacing w:val="-8"/>
                <w:sz w:val="20"/>
              </w:rPr>
              <w:t xml:space="preserve"> 公里，二级公路，路</w:t>
            </w:r>
          </w:p>
          <w:p>
            <w:pPr>
              <w:pStyle w:val="11"/>
              <w:spacing w:before="3"/>
              <w:ind w:left="148"/>
              <w:rPr>
                <w:sz w:val="20"/>
              </w:rPr>
            </w:pPr>
            <w:r>
              <w:rPr>
                <w:spacing w:val="-18"/>
                <w:sz w:val="20"/>
              </w:rPr>
              <w:t xml:space="preserve">基宽 </w:t>
            </w:r>
            <w:r>
              <w:rPr>
                <w:sz w:val="20"/>
              </w:rPr>
              <w:t>8.5</w:t>
            </w:r>
            <w:r>
              <w:rPr>
                <w:spacing w:val="-8"/>
                <w:sz w:val="20"/>
              </w:rPr>
              <w:t xml:space="preserve"> 米，水泥混凝土路面宽</w:t>
            </w:r>
          </w:p>
          <w:p>
            <w:pPr>
              <w:pStyle w:val="11"/>
              <w:spacing w:before="3" w:line="239" w:lineRule="exact"/>
              <w:ind w:left="1273"/>
              <w:rPr>
                <w:sz w:val="20"/>
              </w:rPr>
            </w:pPr>
            <w:r>
              <w:rPr>
                <w:sz w:val="20"/>
              </w:rPr>
              <w:t>7.5 米</w:t>
            </w:r>
          </w:p>
        </w:tc>
        <w:tc>
          <w:tcPr>
            <w:tcW w:w="1077" w:type="dxa"/>
          </w:tcPr>
          <w:p>
            <w:pPr>
              <w:pStyle w:val="11"/>
              <w:spacing w:before="3"/>
              <w:rPr>
                <w:sz w:val="20"/>
              </w:rPr>
            </w:pPr>
          </w:p>
          <w:p>
            <w:pPr>
              <w:pStyle w:val="11"/>
              <w:ind w:left="17" w:right="10"/>
              <w:jc w:val="center"/>
              <w:rPr>
                <w:sz w:val="20"/>
              </w:rPr>
            </w:pPr>
            <w:r>
              <w:rPr>
                <w:sz w:val="20"/>
              </w:rPr>
              <w:t>270 日历天</w:t>
            </w:r>
          </w:p>
        </w:tc>
      </w:tr>
    </w:tbl>
    <w:p>
      <w:pPr>
        <w:pStyle w:val="5"/>
        <w:ind w:left="1020"/>
      </w:pPr>
      <w:r>
        <w:t>6、资金来源：上级补助及县财政配套；</w:t>
      </w:r>
    </w:p>
    <w:p>
      <w:pPr>
        <w:pStyle w:val="5"/>
        <w:spacing w:before="161"/>
        <w:ind w:left="1020"/>
      </w:pPr>
      <w:r>
        <w:t>7、质量要求：合格</w:t>
      </w:r>
    </w:p>
    <w:p>
      <w:pPr>
        <w:pStyle w:val="5"/>
        <w:spacing w:before="10"/>
        <w:ind w:left="0"/>
        <w:rPr>
          <w:sz w:val="32"/>
        </w:rPr>
      </w:pPr>
    </w:p>
    <w:p>
      <w:pPr>
        <w:spacing w:before="0"/>
        <w:ind w:left="262" w:right="360" w:firstLine="0"/>
        <w:jc w:val="center"/>
        <w:rPr>
          <w:b/>
          <w:sz w:val="28"/>
        </w:rPr>
      </w:pPr>
      <w:bookmarkStart w:id="125" w:name="二、图纸（另册）"/>
      <w:bookmarkEnd w:id="125"/>
      <w:r>
        <w:rPr>
          <w:b/>
          <w:sz w:val="28"/>
        </w:rPr>
        <w:t>二、图纸（另册）</w:t>
      </w:r>
    </w:p>
    <w:p>
      <w:pPr>
        <w:spacing w:after="0"/>
        <w:jc w:val="center"/>
        <w:rPr>
          <w:sz w:val="28"/>
        </w:rPr>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0"/>
        <w:ind w:left="0"/>
        <w:rPr>
          <w:b/>
          <w:sz w:val="21"/>
        </w:rPr>
      </w:pPr>
    </w:p>
    <w:p>
      <w:pPr>
        <w:pStyle w:val="2"/>
        <w:spacing w:before="62"/>
      </w:pPr>
      <w:bookmarkStart w:id="126" w:name="_bookmark8"/>
      <w:bookmarkEnd w:id="126"/>
      <w:bookmarkStart w:id="127" w:name="第三卷"/>
      <w:bookmarkEnd w:id="127"/>
      <w:bookmarkStart w:id="128" w:name="_bookmark9"/>
      <w:bookmarkEnd w:id="128"/>
      <w:r>
        <w:t>第三卷</w:t>
      </w:r>
    </w:p>
    <w:p>
      <w:pPr>
        <w:spacing w:after="0"/>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spacing w:before="11"/>
        <w:ind w:left="0"/>
        <w:rPr>
          <w:b/>
          <w:sz w:val="14"/>
        </w:rPr>
      </w:pPr>
    </w:p>
    <w:p>
      <w:pPr>
        <w:pStyle w:val="2"/>
        <w:spacing w:before="62"/>
      </w:pPr>
      <w:bookmarkStart w:id="129" w:name="第七章 技术标准和要求"/>
      <w:bookmarkEnd w:id="129"/>
      <w:r>
        <w:t>第七章 技术标准和要求</w:t>
      </w:r>
    </w:p>
    <w:p>
      <w:pPr>
        <w:pStyle w:val="5"/>
        <w:ind w:left="0"/>
        <w:rPr>
          <w:b/>
          <w:sz w:val="28"/>
        </w:rPr>
      </w:pPr>
    </w:p>
    <w:p>
      <w:pPr>
        <w:pStyle w:val="5"/>
        <w:spacing w:before="12"/>
        <w:ind w:left="0"/>
        <w:rPr>
          <w:b/>
          <w:sz w:val="37"/>
        </w:rPr>
      </w:pPr>
    </w:p>
    <w:p>
      <w:pPr>
        <w:pStyle w:val="4"/>
        <w:ind w:left="1020"/>
      </w:pPr>
      <w:r>
        <w:t>1.一般规定</w:t>
      </w:r>
    </w:p>
    <w:p>
      <w:pPr>
        <w:pStyle w:val="5"/>
        <w:spacing w:before="161" w:line="364" w:lineRule="auto"/>
        <w:ind w:right="639" w:firstLine="480"/>
        <w:jc w:val="both"/>
      </w:pPr>
      <w:r>
        <w:t>除非合同文件中另有特别注明，本工程适用中华人民共和国现行有效的国家规范、规程和标准。设计图纸和其他设计文件中的有关文字说明是本工程技术规范的组成。对于涉及新技术、新工艺和新材料的工作，相应厂家使用说明或操作说明等的内容，或适用的国外同类标准的内容也是本工程技术规范的组成部分。</w:t>
      </w:r>
    </w:p>
    <w:p>
      <w:pPr>
        <w:pStyle w:val="5"/>
        <w:spacing w:line="364" w:lineRule="auto"/>
        <w:ind w:right="639" w:firstLine="480"/>
        <w:jc w:val="both"/>
      </w:pPr>
      <w:r>
        <w:t>合同中约定的任何投标人应予遵照执行的国家规范、规程和标准都指他们各自的最新版本。如果在构成本工程规范和技术说明的任何内容与任何现行国家规范、规程和标准包括他们适用的修改之间出现相互矛盾之处或不一致的指示，投标人应按照其中要求最严格的标准执行。材料、施工工艺和本工程都应依照本工程规范和技术说明以及相关国家规范、规程和标准的最新版本；或把最新版本的要求当作对投标人工作的最起码要求，而执行更高的标准。</w:t>
      </w:r>
    </w:p>
    <w:p>
      <w:pPr>
        <w:spacing w:before="0" w:line="364" w:lineRule="auto"/>
        <w:ind w:left="1020" w:right="1784" w:firstLine="0"/>
        <w:jc w:val="left"/>
        <w:rPr>
          <w:b/>
          <w:sz w:val="24"/>
        </w:rPr>
      </w:pPr>
      <w:r>
        <w:rPr>
          <w:sz w:val="24"/>
        </w:rPr>
        <w:t>未尽项均执行现行规范及标准,以上规范如有变化，以最新发布的为准。</w:t>
      </w:r>
      <w:r>
        <w:rPr>
          <w:b/>
          <w:sz w:val="24"/>
        </w:rPr>
        <w:t>2.现行有效的主要设计和施工验收规范索引</w:t>
      </w:r>
    </w:p>
    <w:p>
      <w:pPr>
        <w:pStyle w:val="5"/>
        <w:spacing w:line="306" w:lineRule="exact"/>
        <w:ind w:left="1020"/>
      </w:pPr>
      <w:r>
        <w:t>【由投标人自行购买或收集】</w:t>
      </w:r>
    </w:p>
    <w:p>
      <w:pPr>
        <w:spacing w:after="0" w:line="306" w:lineRule="exact"/>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spacing w:before="5"/>
        <w:ind w:left="0"/>
        <w:rPr>
          <w:sz w:val="18"/>
        </w:rPr>
      </w:pPr>
    </w:p>
    <w:p>
      <w:pPr>
        <w:pStyle w:val="2"/>
      </w:pPr>
      <w:bookmarkStart w:id="130" w:name="第四卷"/>
      <w:bookmarkEnd w:id="130"/>
      <w:bookmarkStart w:id="131" w:name="_bookmark10"/>
      <w:bookmarkEnd w:id="131"/>
      <w:r>
        <w:t>第四卷</w:t>
      </w:r>
    </w:p>
    <w:p>
      <w:pPr>
        <w:spacing w:after="0"/>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ind w:left="0"/>
        <w:rPr>
          <w:b/>
          <w:sz w:val="19"/>
        </w:rPr>
      </w:pPr>
    </w:p>
    <w:p>
      <w:pPr>
        <w:pStyle w:val="2"/>
        <w:tabs>
          <w:tab w:val="left" w:pos="1123"/>
        </w:tabs>
        <w:ind w:left="0" w:right="100"/>
      </w:pPr>
      <w:bookmarkStart w:id="132" w:name="第八章  工程量清单计量规则"/>
      <w:bookmarkEnd w:id="132"/>
      <w:bookmarkStart w:id="133" w:name="_bookmark11"/>
      <w:bookmarkEnd w:id="133"/>
      <w:r>
        <w:t>第八章</w:t>
      </w:r>
      <w:r>
        <w:tab/>
      </w:r>
      <w:r>
        <w:t>工程量清单计量规则</w:t>
      </w:r>
    </w:p>
    <w:p>
      <w:pPr>
        <w:pStyle w:val="5"/>
        <w:spacing w:before="2"/>
        <w:ind w:left="0"/>
        <w:rPr>
          <w:b/>
          <w:sz w:val="40"/>
        </w:rPr>
      </w:pPr>
    </w:p>
    <w:p>
      <w:pPr>
        <w:pStyle w:val="5"/>
        <w:spacing w:line="364" w:lineRule="auto"/>
        <w:ind w:right="639" w:firstLine="480"/>
      </w:pPr>
      <w:r>
        <w:t>有关本项目工程量清单的计量与支付方法参照《公路工程标准施工招标文件（2018 年版）》计量与支付规则执行，并对其中部分内容修改如下：</w:t>
      </w:r>
    </w:p>
    <w:p>
      <w:pPr>
        <w:pStyle w:val="5"/>
        <w:spacing w:line="306" w:lineRule="exact"/>
        <w:ind w:left="1020"/>
      </w:pPr>
      <w:r>
        <w:t>1、100章</w:t>
      </w:r>
    </w:p>
    <w:p>
      <w:pPr>
        <w:pStyle w:val="5"/>
        <w:spacing w:before="160"/>
        <w:ind w:left="1020"/>
      </w:pPr>
      <w:r>
        <w:t>1）取消105施工标准化清单子目</w:t>
      </w:r>
    </w:p>
    <w:p>
      <w:pPr>
        <w:pStyle w:val="5"/>
        <w:spacing w:before="159" w:line="364" w:lineRule="auto"/>
        <w:ind w:right="704" w:firstLine="480"/>
        <w:jc w:val="both"/>
      </w:pPr>
      <w:r>
        <w:t>此项目水泥混凝土采用外购商品混凝土，基层稳定土混合料、面层沥青混合料的拌合站安拆、场地硬化、标准化建设费用考虑在基层、面层各个清单子目综合单价中。其他的施工标准化费用包含在104子目或取费的临时设施费费率中。</w:t>
      </w:r>
    </w:p>
    <w:p>
      <w:pPr>
        <w:pStyle w:val="5"/>
        <w:spacing w:line="307" w:lineRule="exact"/>
        <w:ind w:left="1020"/>
      </w:pPr>
      <w:r>
        <w:t>2、200章</w:t>
      </w:r>
    </w:p>
    <w:p>
      <w:pPr>
        <w:pStyle w:val="5"/>
        <w:spacing w:before="158"/>
        <w:ind w:left="960"/>
      </w:pPr>
      <w:r>
        <w:t>1）增加 204-1-j 处理路床子目</w:t>
      </w:r>
    </w:p>
    <w:p>
      <w:pPr>
        <w:pStyle w:val="10"/>
        <w:numPr>
          <w:ilvl w:val="3"/>
          <w:numId w:val="120"/>
        </w:numPr>
        <w:tabs>
          <w:tab w:val="left" w:pos="2101"/>
        </w:tabs>
        <w:spacing w:before="160" w:after="0" w:line="364" w:lineRule="auto"/>
        <w:ind w:left="540" w:right="656" w:firstLine="420"/>
        <w:jc w:val="left"/>
        <w:rPr>
          <w:sz w:val="24"/>
        </w:rPr>
      </w:pPr>
      <w:r>
        <w:rPr>
          <w:spacing w:val="-3"/>
          <w:sz w:val="24"/>
        </w:rPr>
        <w:t>利用老路废料（</w:t>
      </w:r>
      <w:r>
        <w:rPr>
          <w:sz w:val="24"/>
        </w:rPr>
        <w:t>利用基层废料</w:t>
      </w:r>
      <w:r>
        <w:rPr>
          <w:spacing w:val="-17"/>
          <w:sz w:val="24"/>
        </w:rPr>
        <w:t>）</w:t>
      </w:r>
      <w:r>
        <w:rPr>
          <w:spacing w:val="-6"/>
          <w:sz w:val="24"/>
        </w:rPr>
        <w:t>清单项，工程量计量以立方米计量，工作</w:t>
      </w:r>
      <w:r>
        <w:rPr>
          <w:sz w:val="24"/>
        </w:rPr>
        <w:t>内容铺筑、整平、分层碾压的全部内容。</w:t>
      </w:r>
    </w:p>
    <w:p>
      <w:pPr>
        <w:pStyle w:val="10"/>
        <w:numPr>
          <w:ilvl w:val="3"/>
          <w:numId w:val="120"/>
        </w:numPr>
        <w:tabs>
          <w:tab w:val="left" w:pos="2101"/>
        </w:tabs>
        <w:spacing w:before="0" w:after="0" w:line="364" w:lineRule="auto"/>
        <w:ind w:left="540" w:right="584" w:firstLine="420"/>
        <w:jc w:val="left"/>
        <w:rPr>
          <w:sz w:val="24"/>
        </w:rPr>
      </w:pPr>
      <w:r>
        <w:rPr>
          <w:spacing w:val="-1"/>
          <w:sz w:val="24"/>
        </w:rPr>
        <w:t>换填级配碎石清单项，工程量计量以立方米计量，工作内容铺筑、整平、</w:t>
      </w:r>
      <w:r>
        <w:rPr>
          <w:sz w:val="24"/>
        </w:rPr>
        <w:t>分层碾压的全部内容。</w:t>
      </w:r>
    </w:p>
    <w:p>
      <w:pPr>
        <w:pStyle w:val="10"/>
        <w:numPr>
          <w:ilvl w:val="3"/>
          <w:numId w:val="120"/>
        </w:numPr>
        <w:tabs>
          <w:tab w:val="left" w:pos="2101"/>
        </w:tabs>
        <w:spacing w:before="0" w:after="0" w:line="362" w:lineRule="auto"/>
        <w:ind w:left="540" w:right="584" w:firstLine="420"/>
        <w:jc w:val="left"/>
        <w:rPr>
          <w:sz w:val="24"/>
        </w:rPr>
      </w:pPr>
      <w:r>
        <w:rPr>
          <w:spacing w:val="-1"/>
          <w:sz w:val="24"/>
        </w:rPr>
        <w:t>路床超挖石灰土清单项，工程量计量以立方米计量，工作内容包括挖除、</w:t>
      </w:r>
      <w:r>
        <w:rPr>
          <w:sz w:val="24"/>
        </w:rPr>
        <w:t>装卸、移动处理、场地清理与平整的全部内容。</w:t>
      </w:r>
    </w:p>
    <w:p>
      <w:pPr>
        <w:pStyle w:val="10"/>
        <w:numPr>
          <w:ilvl w:val="3"/>
          <w:numId w:val="120"/>
        </w:numPr>
        <w:tabs>
          <w:tab w:val="left" w:pos="2101"/>
        </w:tabs>
        <w:spacing w:before="3" w:after="0" w:line="364" w:lineRule="auto"/>
        <w:ind w:left="540" w:right="656" w:firstLine="420"/>
        <w:jc w:val="left"/>
        <w:rPr>
          <w:sz w:val="24"/>
        </w:rPr>
      </w:pPr>
      <w:r>
        <w:rPr>
          <w:spacing w:val="-6"/>
          <w:sz w:val="24"/>
        </w:rPr>
        <w:t>路床超挖土方清单项，工程量计量以立方米计量，工作内容包括挖除、装</w:t>
      </w:r>
      <w:r>
        <w:rPr>
          <w:sz w:val="24"/>
        </w:rPr>
        <w:t>卸、移动处理、场地清理与平整的全部内容。</w:t>
      </w:r>
    </w:p>
    <w:p>
      <w:pPr>
        <w:pStyle w:val="5"/>
        <w:spacing w:line="364" w:lineRule="auto"/>
        <w:ind w:right="614" w:firstLine="420"/>
      </w:pPr>
      <w:r>
        <w:t>3）205-1-C-6 水泥土垫层(6%)清单项，工程量计量以立方米计量，工作内容包括基底清理、临时排水、运输拌和、分层铺筑、分层碾压全部内容。</w:t>
      </w:r>
    </w:p>
    <w:p>
      <w:pPr>
        <w:pStyle w:val="10"/>
        <w:numPr>
          <w:ilvl w:val="0"/>
          <w:numId w:val="121"/>
        </w:numPr>
        <w:tabs>
          <w:tab w:val="left" w:pos="1322"/>
        </w:tabs>
        <w:spacing w:before="0" w:after="0" w:line="306" w:lineRule="exact"/>
        <w:ind w:left="1321" w:right="0" w:hanging="362"/>
        <w:jc w:val="left"/>
        <w:rPr>
          <w:sz w:val="24"/>
        </w:rPr>
      </w:pPr>
      <w:r>
        <w:rPr>
          <w:spacing w:val="-20"/>
          <w:sz w:val="24"/>
        </w:rPr>
        <w:t xml:space="preserve">增加 </w:t>
      </w:r>
      <w:r>
        <w:rPr>
          <w:sz w:val="24"/>
        </w:rPr>
        <w:t>205-1-c-7</w:t>
      </w:r>
      <w:r>
        <w:rPr>
          <w:spacing w:val="-11"/>
          <w:sz w:val="24"/>
        </w:rPr>
        <w:t xml:space="preserve"> 清单项，工程量计量及工作内容参照 </w:t>
      </w:r>
      <w:r>
        <w:rPr>
          <w:sz w:val="24"/>
        </w:rPr>
        <w:t>205-1-c-4。</w:t>
      </w:r>
    </w:p>
    <w:p>
      <w:pPr>
        <w:pStyle w:val="10"/>
        <w:numPr>
          <w:ilvl w:val="0"/>
          <w:numId w:val="121"/>
        </w:numPr>
        <w:tabs>
          <w:tab w:val="left" w:pos="1322"/>
        </w:tabs>
        <w:spacing w:before="159" w:after="0" w:line="240" w:lineRule="auto"/>
        <w:ind w:left="1321" w:right="0" w:hanging="362"/>
        <w:jc w:val="left"/>
        <w:rPr>
          <w:sz w:val="24"/>
        </w:rPr>
      </w:pPr>
      <w:r>
        <w:rPr>
          <w:spacing w:val="-20"/>
          <w:sz w:val="24"/>
        </w:rPr>
        <w:t xml:space="preserve">增加 </w:t>
      </w:r>
      <w:r>
        <w:rPr>
          <w:sz w:val="24"/>
        </w:rPr>
        <w:t>205-1 -o</w:t>
      </w:r>
      <w:r>
        <w:rPr>
          <w:spacing w:val="-12"/>
          <w:sz w:val="24"/>
        </w:rPr>
        <w:t xml:space="preserve"> 清单项，程量计量及工作内容参照 </w:t>
      </w:r>
      <w:r>
        <w:rPr>
          <w:sz w:val="24"/>
        </w:rPr>
        <w:t>204-1-j-3。</w:t>
      </w:r>
    </w:p>
    <w:p>
      <w:pPr>
        <w:pStyle w:val="10"/>
        <w:numPr>
          <w:ilvl w:val="0"/>
          <w:numId w:val="121"/>
        </w:numPr>
        <w:tabs>
          <w:tab w:val="left" w:pos="1322"/>
        </w:tabs>
        <w:spacing w:before="160" w:after="0" w:line="240" w:lineRule="auto"/>
        <w:ind w:left="1321" w:right="0" w:hanging="362"/>
        <w:jc w:val="left"/>
        <w:rPr>
          <w:sz w:val="24"/>
        </w:rPr>
      </w:pPr>
      <w:r>
        <w:rPr>
          <w:spacing w:val="-20"/>
          <w:sz w:val="24"/>
        </w:rPr>
        <w:t xml:space="preserve">增加 </w:t>
      </w:r>
      <w:r>
        <w:rPr>
          <w:sz w:val="24"/>
        </w:rPr>
        <w:t>205-1 -p</w:t>
      </w:r>
      <w:r>
        <w:rPr>
          <w:spacing w:val="-12"/>
          <w:sz w:val="24"/>
        </w:rPr>
        <w:t xml:space="preserve"> 清单项，程量计量及工作内容参照 </w:t>
      </w:r>
      <w:r>
        <w:rPr>
          <w:sz w:val="24"/>
        </w:rPr>
        <w:t>204-1-j-4。</w:t>
      </w:r>
    </w:p>
    <w:p>
      <w:pPr>
        <w:pStyle w:val="10"/>
        <w:numPr>
          <w:ilvl w:val="0"/>
          <w:numId w:val="121"/>
        </w:numPr>
        <w:tabs>
          <w:tab w:val="left" w:pos="1322"/>
        </w:tabs>
        <w:spacing w:before="159" w:after="0" w:line="240" w:lineRule="auto"/>
        <w:ind w:left="1321" w:right="0" w:hanging="362"/>
        <w:jc w:val="left"/>
        <w:rPr>
          <w:sz w:val="24"/>
        </w:rPr>
      </w:pPr>
      <w:r>
        <w:rPr>
          <w:spacing w:val="-20"/>
          <w:sz w:val="24"/>
        </w:rPr>
        <w:t xml:space="preserve">增加 </w:t>
      </w:r>
      <w:r>
        <w:rPr>
          <w:sz w:val="24"/>
        </w:rPr>
        <w:t>207-1-g</w:t>
      </w:r>
      <w:r>
        <w:rPr>
          <w:spacing w:val="-15"/>
          <w:sz w:val="24"/>
        </w:rPr>
        <w:t xml:space="preserve"> 子目。</w:t>
      </w:r>
    </w:p>
    <w:p>
      <w:pPr>
        <w:pStyle w:val="5"/>
        <w:spacing w:before="158" w:line="364" w:lineRule="auto"/>
        <w:ind w:left="960" w:right="517"/>
      </w:pPr>
      <w:r>
        <w:t>碎落台培土清单项，工程量计量以立方米计量，工程量计量及工作内容参照 313-1。C25 现浇混凝土硬化清单项，工程量计量以立方米计量，工程量计量及工作内容参照</w:t>
      </w:r>
    </w:p>
    <w:p>
      <w:pPr>
        <w:pStyle w:val="5"/>
        <w:spacing w:line="306" w:lineRule="exact"/>
      </w:pPr>
      <w:r>
        <w:t>313-3。</w:t>
      </w:r>
    </w:p>
    <w:p>
      <w:pPr>
        <w:spacing w:after="0" w:line="306" w:lineRule="exact"/>
        <w:sectPr>
          <w:pgSz w:w="11910" w:h="16840"/>
          <w:pgMar w:top="1380" w:right="720" w:bottom="1080" w:left="820" w:header="746" w:footer="891" w:gutter="0"/>
          <w:cols w:space="720" w:num="1"/>
        </w:sectPr>
      </w:pPr>
    </w:p>
    <w:p>
      <w:pPr>
        <w:pStyle w:val="10"/>
        <w:numPr>
          <w:ilvl w:val="0"/>
          <w:numId w:val="121"/>
        </w:numPr>
        <w:tabs>
          <w:tab w:val="left" w:pos="1384"/>
        </w:tabs>
        <w:spacing w:before="61" w:after="0" w:line="364" w:lineRule="auto"/>
        <w:ind w:left="540" w:right="656" w:firstLine="480"/>
        <w:jc w:val="both"/>
        <w:rPr>
          <w:sz w:val="24"/>
        </w:rPr>
      </w:pPr>
      <w:r>
        <w:rPr>
          <w:spacing w:val="-15"/>
          <w:sz w:val="24"/>
        </w:rPr>
        <w:t xml:space="preserve">增加 </w:t>
      </w:r>
      <w:r>
        <w:rPr>
          <w:sz w:val="24"/>
        </w:rPr>
        <w:t>207-11</w:t>
      </w:r>
      <w:r>
        <w:rPr>
          <w:spacing w:val="-7"/>
          <w:sz w:val="24"/>
        </w:rPr>
        <w:t xml:space="preserve"> 排水管，工程量计量以米计量，工作内容包含沟槽挖填、中粗砂基础垫层、混凝土排水管制作与敷设的全部工作内容。</w:t>
      </w:r>
    </w:p>
    <w:p>
      <w:pPr>
        <w:pStyle w:val="10"/>
        <w:numPr>
          <w:ilvl w:val="0"/>
          <w:numId w:val="121"/>
        </w:numPr>
        <w:tabs>
          <w:tab w:val="left" w:pos="1382"/>
        </w:tabs>
        <w:spacing w:before="0" w:after="0" w:line="306" w:lineRule="exact"/>
        <w:ind w:left="1381" w:right="0" w:hanging="362"/>
        <w:jc w:val="left"/>
        <w:rPr>
          <w:sz w:val="24"/>
        </w:rPr>
      </w:pPr>
      <w:r>
        <w:rPr>
          <w:spacing w:val="-20"/>
          <w:sz w:val="24"/>
        </w:rPr>
        <w:t xml:space="preserve">增加 </w:t>
      </w:r>
      <w:r>
        <w:rPr>
          <w:sz w:val="24"/>
        </w:rPr>
        <w:t>207-12</w:t>
      </w:r>
      <w:r>
        <w:rPr>
          <w:spacing w:val="-11"/>
          <w:sz w:val="24"/>
        </w:rPr>
        <w:t xml:space="preserve"> 边沟涵子目，工程量计量及工作内容参照 </w:t>
      </w:r>
      <w:r>
        <w:rPr>
          <w:sz w:val="24"/>
        </w:rPr>
        <w:t>420-1。</w:t>
      </w:r>
    </w:p>
    <w:p>
      <w:pPr>
        <w:pStyle w:val="5"/>
        <w:spacing w:before="160"/>
        <w:ind w:left="1020"/>
      </w:pPr>
      <w:r>
        <w:t>3、300章</w:t>
      </w:r>
    </w:p>
    <w:p>
      <w:pPr>
        <w:pStyle w:val="10"/>
        <w:numPr>
          <w:ilvl w:val="0"/>
          <w:numId w:val="122"/>
        </w:numPr>
        <w:tabs>
          <w:tab w:val="left" w:pos="1382"/>
        </w:tabs>
        <w:spacing w:before="158" w:after="0" w:line="240" w:lineRule="auto"/>
        <w:ind w:left="1381" w:right="0" w:hanging="362"/>
        <w:jc w:val="left"/>
        <w:rPr>
          <w:sz w:val="24"/>
        </w:rPr>
      </w:pPr>
      <w:r>
        <w:rPr>
          <w:sz w:val="24"/>
        </w:rPr>
        <w:t>增加302-5中粗砂垫层清单子目，工程量计量及工作内容参照302-2子目。</w:t>
      </w:r>
    </w:p>
    <w:p>
      <w:pPr>
        <w:pStyle w:val="10"/>
        <w:numPr>
          <w:ilvl w:val="0"/>
          <w:numId w:val="122"/>
        </w:numPr>
        <w:tabs>
          <w:tab w:val="left" w:pos="1382"/>
        </w:tabs>
        <w:spacing w:before="161" w:after="0" w:line="364" w:lineRule="auto"/>
        <w:ind w:left="540" w:right="704" w:firstLine="480"/>
        <w:jc w:val="both"/>
        <w:rPr>
          <w:sz w:val="24"/>
        </w:rPr>
      </w:pPr>
      <w:r>
        <w:rPr>
          <w:sz w:val="24"/>
        </w:rPr>
        <w:t>增加313-7</w:t>
      </w:r>
      <w:r>
        <w:rPr>
          <w:spacing w:val="-1"/>
          <w:sz w:val="24"/>
        </w:rPr>
        <w:t>现浇混凝土靠背清单子目，工程量计量以立方米计量，工作内容包含摸板制作、安装、拆除、修理、涂脱模剂、混凝土配运料、拌和、运输、浇筑、养生等</w:t>
      </w:r>
      <w:r>
        <w:rPr>
          <w:sz w:val="24"/>
        </w:rPr>
        <w:t>全部内容。</w:t>
      </w:r>
    </w:p>
    <w:p>
      <w:pPr>
        <w:pStyle w:val="10"/>
        <w:numPr>
          <w:ilvl w:val="0"/>
          <w:numId w:val="122"/>
        </w:numPr>
        <w:tabs>
          <w:tab w:val="left" w:pos="1382"/>
        </w:tabs>
        <w:spacing w:before="0" w:after="0" w:line="307" w:lineRule="exact"/>
        <w:ind w:left="1381" w:right="0" w:hanging="362"/>
        <w:jc w:val="left"/>
        <w:rPr>
          <w:sz w:val="24"/>
        </w:rPr>
      </w:pPr>
      <w:r>
        <w:rPr>
          <w:sz w:val="24"/>
        </w:rPr>
        <w:t>增加315其他路面子目</w:t>
      </w:r>
    </w:p>
    <w:p>
      <w:pPr>
        <w:pStyle w:val="10"/>
        <w:numPr>
          <w:ilvl w:val="1"/>
          <w:numId w:val="123"/>
        </w:numPr>
        <w:tabs>
          <w:tab w:val="left" w:pos="1622"/>
        </w:tabs>
        <w:spacing w:before="158" w:after="0" w:line="240" w:lineRule="auto"/>
        <w:ind w:left="1621" w:right="0" w:hanging="602"/>
        <w:jc w:val="left"/>
        <w:rPr>
          <w:sz w:val="24"/>
        </w:rPr>
      </w:pPr>
      <w:r>
        <w:rPr>
          <w:sz w:val="24"/>
        </w:rPr>
        <w:t>玻璃纤维格栅清单项，工程量计量及工作内容参照205-1-d-3。</w:t>
      </w:r>
    </w:p>
    <w:p>
      <w:pPr>
        <w:pStyle w:val="10"/>
        <w:numPr>
          <w:ilvl w:val="1"/>
          <w:numId w:val="123"/>
        </w:numPr>
        <w:tabs>
          <w:tab w:val="left" w:pos="1742"/>
        </w:tabs>
        <w:spacing w:before="158" w:after="0" w:line="364" w:lineRule="auto"/>
        <w:ind w:left="540" w:right="704" w:firstLine="480"/>
        <w:jc w:val="left"/>
        <w:rPr>
          <w:sz w:val="24"/>
        </w:rPr>
      </w:pPr>
      <w:r>
        <w:rPr>
          <w:spacing w:val="-1"/>
          <w:sz w:val="24"/>
        </w:rPr>
        <w:t>防裂贴清单项，工程量计量以平方米计量，工作内容包括防裂贴粘贴表面、</w:t>
      </w:r>
      <w:r>
        <w:rPr>
          <w:sz w:val="24"/>
        </w:rPr>
        <w:t>密封胶填充调平、粘贴防裂贴全部内容。</w:t>
      </w:r>
    </w:p>
    <w:p>
      <w:pPr>
        <w:pStyle w:val="10"/>
        <w:numPr>
          <w:ilvl w:val="1"/>
          <w:numId w:val="123"/>
        </w:numPr>
        <w:tabs>
          <w:tab w:val="left" w:pos="1742"/>
        </w:tabs>
        <w:spacing w:before="1" w:after="0" w:line="362" w:lineRule="auto"/>
        <w:ind w:left="540" w:right="704" w:firstLine="480"/>
        <w:jc w:val="left"/>
        <w:rPr>
          <w:sz w:val="24"/>
        </w:rPr>
      </w:pPr>
      <w:r>
        <w:rPr>
          <w:spacing w:val="-1"/>
          <w:sz w:val="24"/>
        </w:rPr>
        <w:t>热沥青灌缝清单项，工程量计量以米计量，工作内容包括剔除或清缝，熬沥</w:t>
      </w:r>
      <w:r>
        <w:rPr>
          <w:sz w:val="24"/>
        </w:rPr>
        <w:t>青，拌和，运输，填充，烫平等全部内容。</w:t>
      </w:r>
    </w:p>
    <w:p>
      <w:pPr>
        <w:pStyle w:val="10"/>
        <w:numPr>
          <w:ilvl w:val="0"/>
          <w:numId w:val="122"/>
        </w:numPr>
        <w:tabs>
          <w:tab w:val="left" w:pos="1382"/>
        </w:tabs>
        <w:spacing w:before="5" w:after="0" w:line="240" w:lineRule="auto"/>
        <w:ind w:left="1381" w:right="0" w:hanging="362"/>
        <w:jc w:val="left"/>
        <w:rPr>
          <w:sz w:val="24"/>
        </w:rPr>
      </w:pPr>
      <w:r>
        <w:rPr>
          <w:sz w:val="24"/>
        </w:rPr>
        <w:t>增加316公交站台及导流岛子目</w:t>
      </w:r>
    </w:p>
    <w:p>
      <w:pPr>
        <w:pStyle w:val="5"/>
        <w:spacing w:before="158" w:line="364" w:lineRule="auto"/>
        <w:ind w:right="519" w:firstLine="480"/>
      </w:pPr>
      <w:r>
        <w:t>6cm</w:t>
      </w:r>
      <w:r>
        <w:rPr>
          <w:spacing w:val="-14"/>
        </w:rPr>
        <w:t>厚砼彩砖清单项，工程量计量以平方米计量，工作内容包含基层清理、砂浆调制、</w:t>
      </w:r>
      <w:r>
        <w:t>块料面层铺砌等全部工作内容。</w:t>
      </w:r>
    </w:p>
    <w:p>
      <w:pPr>
        <w:pStyle w:val="5"/>
        <w:spacing w:line="306" w:lineRule="exact"/>
        <w:ind w:left="1020"/>
      </w:pPr>
      <w:r>
        <w:t>20cm厚6%水泥土清单项，工程量计量及工作内容参照420-1。</w:t>
      </w:r>
    </w:p>
    <w:p>
      <w:pPr>
        <w:pStyle w:val="5"/>
        <w:spacing w:before="161"/>
        <w:ind w:left="1020"/>
      </w:pPr>
      <w:r>
        <w:t>4、600 章</w:t>
      </w:r>
    </w:p>
    <w:p>
      <w:pPr>
        <w:pStyle w:val="10"/>
        <w:numPr>
          <w:ilvl w:val="0"/>
          <w:numId w:val="124"/>
        </w:numPr>
        <w:tabs>
          <w:tab w:val="left" w:pos="1382"/>
        </w:tabs>
        <w:spacing w:before="158" w:after="0" w:line="240" w:lineRule="auto"/>
        <w:ind w:left="1381" w:right="0" w:hanging="362"/>
        <w:jc w:val="left"/>
        <w:rPr>
          <w:sz w:val="24"/>
        </w:rPr>
      </w:pPr>
      <w:r>
        <w:rPr>
          <w:spacing w:val="-20"/>
          <w:sz w:val="24"/>
        </w:rPr>
        <w:t xml:space="preserve">增加 </w:t>
      </w:r>
      <w:r>
        <w:rPr>
          <w:sz w:val="24"/>
        </w:rPr>
        <w:t>604-14</w:t>
      </w:r>
      <w:r>
        <w:rPr>
          <w:spacing w:val="-8"/>
          <w:sz w:val="24"/>
        </w:rPr>
        <w:t xml:space="preserve"> 更换交通标志子目</w:t>
      </w:r>
    </w:p>
    <w:p>
      <w:pPr>
        <w:pStyle w:val="5"/>
        <w:spacing w:before="160" w:line="362" w:lineRule="auto"/>
        <w:ind w:right="639" w:firstLine="480"/>
      </w:pPr>
      <w:r>
        <w:t>600×290</w:t>
      </w:r>
      <w:r>
        <w:rPr>
          <w:spacing w:val="-9"/>
        </w:rPr>
        <w:t xml:space="preserve"> 更换版面内容清单项，工程量计量以平方米计量，工作内容包含版面内容</w:t>
      </w:r>
      <w:r>
        <w:t>制作、粘贴全部工作内容。</w:t>
      </w:r>
    </w:p>
    <w:p>
      <w:pPr>
        <w:pStyle w:val="5"/>
        <w:spacing w:before="5" w:line="364" w:lineRule="auto"/>
        <w:ind w:right="461" w:firstLine="480"/>
      </w:pPr>
      <w:r>
        <w:t>抬高更换基础清单项，工程量以个计量，工作内容包含原有标志拆除、挖基、回填、钢筋及混凝土的全部工件、镀锌铁件的制作与安装等全部工作内容。</w:t>
      </w:r>
    </w:p>
    <w:p>
      <w:pPr>
        <w:pStyle w:val="10"/>
        <w:numPr>
          <w:ilvl w:val="0"/>
          <w:numId w:val="124"/>
        </w:numPr>
        <w:tabs>
          <w:tab w:val="left" w:pos="1384"/>
        </w:tabs>
        <w:spacing w:before="0" w:after="0" w:line="362" w:lineRule="auto"/>
        <w:ind w:left="540" w:right="639" w:firstLine="480"/>
        <w:jc w:val="left"/>
        <w:rPr>
          <w:sz w:val="24"/>
        </w:rPr>
      </w:pPr>
      <w:r>
        <w:rPr>
          <w:spacing w:val="-13"/>
          <w:sz w:val="24"/>
        </w:rPr>
        <w:t xml:space="preserve">增加 </w:t>
      </w:r>
      <w:r>
        <w:rPr>
          <w:sz w:val="24"/>
        </w:rPr>
        <w:t>604-15</w:t>
      </w:r>
      <w:r>
        <w:rPr>
          <w:spacing w:val="-6"/>
          <w:sz w:val="24"/>
        </w:rPr>
        <w:t xml:space="preserve"> 道口桩清单子目，工程量以根计量，工作内容包含混凝土及钢筋的全部工序、油漆、挖洞、埋设、回填等全部工作内容。</w:t>
      </w:r>
    </w:p>
    <w:p>
      <w:pPr>
        <w:pStyle w:val="10"/>
        <w:numPr>
          <w:ilvl w:val="0"/>
          <w:numId w:val="124"/>
        </w:numPr>
        <w:tabs>
          <w:tab w:val="left" w:pos="1382"/>
        </w:tabs>
        <w:spacing w:before="4" w:after="0" w:line="362" w:lineRule="auto"/>
        <w:ind w:left="540" w:right="519" w:firstLine="480"/>
        <w:jc w:val="left"/>
        <w:rPr>
          <w:sz w:val="24"/>
        </w:rPr>
      </w:pPr>
      <w:r>
        <w:rPr>
          <w:spacing w:val="-20"/>
          <w:sz w:val="24"/>
        </w:rPr>
        <w:t xml:space="preserve">增加 </w:t>
      </w:r>
      <w:r>
        <w:rPr>
          <w:sz w:val="24"/>
        </w:rPr>
        <w:t>605-10</w:t>
      </w:r>
      <w:r>
        <w:rPr>
          <w:spacing w:val="-11"/>
          <w:sz w:val="24"/>
        </w:rPr>
        <w:t xml:space="preserve"> 振动标线清单子目，工程量以平方米计量，工作内容包含清扫路面，</w:t>
      </w:r>
      <w:r>
        <w:rPr>
          <w:sz w:val="24"/>
        </w:rPr>
        <w:t>放样，涂底漆，加热熔融热塑性标线涂料，画线等全部工程内容。</w:t>
      </w:r>
    </w:p>
    <w:p>
      <w:pPr>
        <w:spacing w:after="0" w:line="362" w:lineRule="auto"/>
        <w:jc w:val="left"/>
        <w:rPr>
          <w:sz w:val="24"/>
        </w:rPr>
        <w:sectPr>
          <w:pgSz w:w="11910" w:h="16840"/>
          <w:pgMar w:top="1380" w:right="720" w:bottom="1080" w:left="820" w:header="746" w:footer="891" w:gutter="0"/>
          <w:cols w:space="720" w:num="1"/>
        </w:sectPr>
      </w:pPr>
    </w:p>
    <w:p>
      <w:pPr>
        <w:pStyle w:val="5"/>
        <w:ind w:left="0"/>
        <w:rPr>
          <w:sz w:val="20"/>
        </w:rPr>
      </w:pPr>
    </w:p>
    <w:p>
      <w:pPr>
        <w:pStyle w:val="5"/>
        <w:ind w:left="0"/>
        <w:rPr>
          <w:sz w:val="20"/>
        </w:rPr>
      </w:pPr>
    </w:p>
    <w:p>
      <w:pPr>
        <w:pStyle w:val="5"/>
        <w:ind w:left="0"/>
        <w:rPr>
          <w:sz w:val="19"/>
        </w:rPr>
      </w:pPr>
    </w:p>
    <w:p>
      <w:pPr>
        <w:pStyle w:val="2"/>
      </w:pPr>
      <w:bookmarkStart w:id="134" w:name="第九章 投标文件格式"/>
      <w:bookmarkEnd w:id="134"/>
      <w:bookmarkStart w:id="135" w:name="_bookmark12"/>
      <w:bookmarkEnd w:id="135"/>
      <w:r>
        <w:t>第九章 投标文件格式</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6"/>
        <w:ind w:left="0"/>
        <w:rPr>
          <w:b/>
          <w:sz w:val="28"/>
        </w:rPr>
      </w:pPr>
    </w:p>
    <w:p>
      <w:pPr>
        <w:tabs>
          <w:tab w:val="left" w:pos="1123"/>
          <w:tab w:val="left" w:pos="3686"/>
        </w:tabs>
        <w:spacing w:before="51"/>
        <w:ind w:left="0" w:right="99" w:firstLine="0"/>
        <w:jc w:val="center"/>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（项目名称）</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合同段施工招标</w:t>
      </w: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spacing w:before="11"/>
        <w:ind w:left="0"/>
        <w:rPr>
          <w:rFonts w:ascii="等线"/>
          <w:b/>
          <w:sz w:val="53"/>
        </w:rPr>
      </w:pPr>
    </w:p>
    <w:p>
      <w:pPr>
        <w:tabs>
          <w:tab w:val="left" w:pos="1079"/>
          <w:tab w:val="left" w:pos="2159"/>
          <w:tab w:val="left" w:pos="3242"/>
        </w:tabs>
        <w:spacing w:before="0"/>
        <w:ind w:left="0" w:right="98" w:firstLine="0"/>
        <w:jc w:val="center"/>
        <w:rPr>
          <w:rFonts w:hint="eastAsia" w:ascii="等线" w:eastAsia="等线"/>
          <w:b/>
          <w:sz w:val="72"/>
        </w:rPr>
      </w:pPr>
      <w:r>
        <w:rPr>
          <w:rFonts w:hint="eastAsia" w:ascii="等线" w:eastAsia="等线"/>
          <w:b/>
          <w:sz w:val="72"/>
        </w:rPr>
        <w:t>投</w:t>
      </w:r>
      <w:r>
        <w:rPr>
          <w:rFonts w:hint="eastAsia" w:ascii="等线" w:eastAsia="等线"/>
          <w:b/>
          <w:sz w:val="72"/>
        </w:rPr>
        <w:tab/>
      </w:r>
      <w:r>
        <w:rPr>
          <w:rFonts w:hint="eastAsia" w:ascii="等线" w:eastAsia="等线"/>
          <w:b/>
          <w:sz w:val="72"/>
        </w:rPr>
        <w:t>标</w:t>
      </w:r>
      <w:r>
        <w:rPr>
          <w:rFonts w:hint="eastAsia" w:ascii="等线" w:eastAsia="等线"/>
          <w:b/>
          <w:sz w:val="72"/>
        </w:rPr>
        <w:tab/>
      </w:r>
      <w:r>
        <w:rPr>
          <w:rFonts w:hint="eastAsia" w:ascii="等线" w:eastAsia="等线"/>
          <w:b/>
          <w:sz w:val="72"/>
        </w:rPr>
        <w:t>文</w:t>
      </w:r>
      <w:r>
        <w:rPr>
          <w:rFonts w:hint="eastAsia" w:ascii="等线" w:eastAsia="等线"/>
          <w:b/>
          <w:sz w:val="72"/>
        </w:rPr>
        <w:tab/>
      </w:r>
      <w:r>
        <w:rPr>
          <w:rFonts w:hint="eastAsia" w:ascii="等线" w:eastAsia="等线"/>
          <w:b/>
          <w:sz w:val="72"/>
        </w:rPr>
        <w:t>件</w:t>
      </w:r>
    </w:p>
    <w:p>
      <w:pPr>
        <w:spacing w:before="420"/>
        <w:ind w:left="259" w:right="360" w:firstLine="0"/>
        <w:jc w:val="center"/>
        <w:rPr>
          <w:rFonts w:hint="eastAsia" w:ascii="等线" w:eastAsia="等线"/>
          <w:b/>
          <w:sz w:val="44"/>
        </w:rPr>
      </w:pPr>
      <w:r>
        <w:rPr>
          <w:b/>
          <w:w w:val="95"/>
          <w:sz w:val="44"/>
        </w:rPr>
        <w:t>(</w:t>
      </w:r>
      <w:r>
        <w:rPr>
          <w:rFonts w:hint="eastAsia" w:ascii="等线" w:eastAsia="等线"/>
          <w:b/>
          <w:w w:val="95"/>
          <w:sz w:val="44"/>
        </w:rPr>
        <w:t>商务及技术文件）</w:t>
      </w: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spacing w:before="3"/>
        <w:ind w:left="0"/>
        <w:rPr>
          <w:rFonts w:ascii="等线"/>
          <w:b/>
          <w:sz w:val="37"/>
        </w:rPr>
      </w:pPr>
    </w:p>
    <w:p>
      <w:pPr>
        <w:tabs>
          <w:tab w:val="left" w:pos="6307"/>
        </w:tabs>
        <w:spacing w:before="0"/>
        <w:ind w:left="2940" w:right="0" w:firstLine="0"/>
        <w:jc w:val="left"/>
        <w:rPr>
          <w:rFonts w:hint="eastAsia" w:ascii="等线" w:eastAsia="等线"/>
          <w:b/>
          <w:sz w:val="32"/>
        </w:rPr>
      </w:pPr>
      <w:r>
        <w:rPr>
          <w:rFonts w:hint="eastAsia" w:ascii="等线" w:eastAsia="等线"/>
          <w:b/>
          <w:sz w:val="32"/>
        </w:rPr>
        <w:t>投标人：</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（盖单位章）</w:t>
      </w:r>
    </w:p>
    <w:p>
      <w:pPr>
        <w:tabs>
          <w:tab w:val="left" w:pos="4385"/>
          <w:tab w:val="left" w:pos="5669"/>
          <w:tab w:val="left" w:pos="6631"/>
        </w:tabs>
        <w:spacing w:before="168"/>
        <w:ind w:left="3101" w:right="0" w:firstLine="0"/>
        <w:jc w:val="left"/>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年</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月</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日</w:t>
      </w:r>
    </w:p>
    <w:p>
      <w:pPr>
        <w:spacing w:after="0"/>
        <w:jc w:val="left"/>
        <w:rPr>
          <w:rFonts w:hint="eastAsia" w:ascii="等线" w:eastAsia="等线"/>
          <w:sz w:val="32"/>
        </w:rPr>
        <w:sectPr>
          <w:pgSz w:w="11910" w:h="16840"/>
          <w:pgMar w:top="1380" w:right="720" w:bottom="1080" w:left="820" w:header="746" w:footer="891" w:gutter="0"/>
          <w:cols w:space="720" w:num="1"/>
        </w:sectPr>
      </w:pPr>
    </w:p>
    <w:p>
      <w:pPr>
        <w:pStyle w:val="5"/>
        <w:spacing w:before="13"/>
        <w:ind w:left="0"/>
        <w:rPr>
          <w:rFonts w:ascii="等线"/>
          <w:b/>
          <w:sz w:val="23"/>
        </w:rPr>
      </w:pPr>
    </w:p>
    <w:p>
      <w:pPr>
        <w:pStyle w:val="5"/>
        <w:spacing w:before="66"/>
        <w:ind w:left="262" w:right="360"/>
        <w:jc w:val="center"/>
      </w:pPr>
      <w:bookmarkStart w:id="136" w:name="目录"/>
      <w:bookmarkEnd w:id="136"/>
      <w:r>
        <w:t>目 录</w:t>
      </w:r>
    </w:p>
    <w:p>
      <w:pPr>
        <w:pStyle w:val="5"/>
        <w:spacing w:before="6"/>
        <w:ind w:left="0"/>
      </w:pPr>
    </w:p>
    <w:p>
      <w:pPr>
        <w:pStyle w:val="5"/>
        <w:spacing w:before="1"/>
        <w:ind w:left="2220"/>
      </w:pPr>
      <w:bookmarkStart w:id="137" w:name="一、投标函及投标函附录"/>
      <w:bookmarkEnd w:id="137"/>
      <w:r>
        <w:t>一、投标函及投标函附录</w:t>
      </w:r>
    </w:p>
    <w:p>
      <w:pPr>
        <w:pStyle w:val="5"/>
        <w:spacing w:before="158" w:line="364" w:lineRule="auto"/>
        <w:ind w:left="2220" w:right="4064"/>
      </w:pPr>
      <w:bookmarkStart w:id="138" w:name="二、授权委托书或法定代表人身份证明"/>
      <w:bookmarkEnd w:id="138"/>
      <w:r>
        <w:t>二、授权委托书或法定代表人身份证明</w:t>
      </w:r>
      <w:bookmarkStart w:id="139" w:name="三、投标保证金"/>
      <w:bookmarkEnd w:id="139"/>
      <w:r>
        <w:t>三、投标保证金</w:t>
      </w:r>
    </w:p>
    <w:p>
      <w:pPr>
        <w:pStyle w:val="5"/>
        <w:spacing w:before="1" w:line="364" w:lineRule="auto"/>
        <w:ind w:left="2220" w:right="6224"/>
        <w:jc w:val="both"/>
      </w:pPr>
      <w:bookmarkStart w:id="140" w:name="四、施工组织设计"/>
      <w:bookmarkEnd w:id="140"/>
      <w:r>
        <w:t>四、施工组织设计</w:t>
      </w:r>
      <w:bookmarkStart w:id="141" w:name="五、项目管理机构"/>
      <w:bookmarkEnd w:id="141"/>
      <w:r>
        <w:t>五、项目管理机构</w:t>
      </w:r>
      <w:bookmarkStart w:id="142" w:name="六、资格审查资料"/>
      <w:bookmarkEnd w:id="142"/>
      <w:r>
        <w:t>六、资格审查资料</w:t>
      </w:r>
      <w:bookmarkStart w:id="143" w:name="七、其他材料"/>
      <w:bookmarkEnd w:id="143"/>
      <w:r>
        <w:t>七、其他材料</w:t>
      </w:r>
    </w:p>
    <w:p>
      <w:pPr>
        <w:pStyle w:val="5"/>
        <w:ind w:left="0"/>
      </w:pPr>
    </w:p>
    <w:p>
      <w:pPr>
        <w:pStyle w:val="5"/>
        <w:ind w:left="0"/>
      </w:pPr>
    </w:p>
    <w:p>
      <w:pPr>
        <w:pStyle w:val="5"/>
        <w:ind w:left="0"/>
      </w:pPr>
    </w:p>
    <w:p>
      <w:pPr>
        <w:pStyle w:val="5"/>
        <w:ind w:left="0"/>
      </w:pPr>
    </w:p>
    <w:p>
      <w:pPr>
        <w:pStyle w:val="5"/>
        <w:spacing w:before="3"/>
        <w:ind w:left="0"/>
        <w:rPr>
          <w:sz w:val="31"/>
        </w:rPr>
      </w:pPr>
    </w:p>
    <w:p>
      <w:pPr>
        <w:spacing w:before="0" w:line="364" w:lineRule="auto"/>
        <w:ind w:left="540" w:right="641" w:firstLine="0"/>
        <w:jc w:val="left"/>
        <w:rPr>
          <w:b/>
          <w:sz w:val="28"/>
        </w:rPr>
      </w:pPr>
      <w:r>
        <w:rPr>
          <w:b/>
          <w:spacing w:val="-8"/>
          <w:w w:val="95"/>
          <w:sz w:val="28"/>
        </w:rPr>
        <w:t>备注：第一部分</w:t>
      </w:r>
      <w:r>
        <w:rPr>
          <w:b/>
          <w:w w:val="95"/>
          <w:sz w:val="28"/>
        </w:rPr>
        <w:t>（商务及技术文件</w:t>
      </w:r>
      <w:r>
        <w:rPr>
          <w:b/>
          <w:spacing w:val="-25"/>
          <w:w w:val="95"/>
          <w:sz w:val="28"/>
        </w:rPr>
        <w:t>）</w:t>
      </w:r>
      <w:r>
        <w:rPr>
          <w:b/>
          <w:spacing w:val="-2"/>
          <w:w w:val="95"/>
          <w:sz w:val="28"/>
        </w:rPr>
        <w:t xml:space="preserve">只允许包含本目录所列内容，对任何显  </w:t>
      </w:r>
      <w:r>
        <w:rPr>
          <w:b/>
          <w:spacing w:val="-2"/>
          <w:sz w:val="28"/>
        </w:rPr>
        <w:t>示第二部分（报价文件）内容的投标文件均以废标处理。</w:t>
      </w:r>
    </w:p>
    <w:p>
      <w:pPr>
        <w:spacing w:after="0" w:line="364" w:lineRule="auto"/>
        <w:jc w:val="left"/>
        <w:rPr>
          <w:sz w:val="28"/>
        </w:rPr>
        <w:sectPr>
          <w:pgSz w:w="11910" w:h="16840"/>
          <w:pgMar w:top="1380" w:right="720" w:bottom="1080" w:left="820" w:header="746" w:footer="891" w:gutter="0"/>
          <w:cols w:space="720" w:num="1"/>
        </w:sectPr>
      </w:pPr>
    </w:p>
    <w:p>
      <w:pPr>
        <w:pStyle w:val="5"/>
        <w:ind w:left="0"/>
        <w:rPr>
          <w:b/>
          <w:sz w:val="20"/>
        </w:rPr>
      </w:pPr>
    </w:p>
    <w:p>
      <w:pPr>
        <w:pStyle w:val="5"/>
        <w:ind w:left="0"/>
        <w:rPr>
          <w:b/>
          <w:sz w:val="20"/>
        </w:rPr>
      </w:pPr>
    </w:p>
    <w:p>
      <w:pPr>
        <w:pStyle w:val="5"/>
        <w:spacing w:before="4"/>
        <w:ind w:left="0"/>
        <w:rPr>
          <w:b/>
          <w:sz w:val="22"/>
        </w:rPr>
      </w:pPr>
    </w:p>
    <w:p>
      <w:pPr>
        <w:pStyle w:val="4"/>
        <w:spacing w:before="66"/>
        <w:ind w:left="259" w:right="360"/>
        <w:jc w:val="center"/>
      </w:pPr>
      <w:bookmarkStart w:id="144" w:name="一、投标函及投标函附录"/>
      <w:bookmarkEnd w:id="144"/>
      <w:r>
        <w:t>一、投标函及投标函附录</w:t>
      </w:r>
    </w:p>
    <w:p>
      <w:pPr>
        <w:pStyle w:val="5"/>
        <w:spacing w:before="7"/>
        <w:ind w:left="0"/>
        <w:rPr>
          <w:b/>
          <w:sz w:val="27"/>
        </w:rPr>
      </w:pPr>
    </w:p>
    <w:p>
      <w:pPr>
        <w:spacing w:after="0"/>
        <w:rPr>
          <w:sz w:val="27"/>
        </w:rPr>
        <w:sectPr>
          <w:pgSz w:w="11910" w:h="16840"/>
          <w:pgMar w:top="1380" w:right="720" w:bottom="1080" w:left="820" w:header="746" w:footer="891" w:gutter="0"/>
          <w:cols w:space="720" w:num="1"/>
        </w:sectPr>
      </w:pPr>
    </w:p>
    <w:p>
      <w:pPr>
        <w:pStyle w:val="5"/>
        <w:ind w:left="0"/>
        <w:rPr>
          <w:b/>
          <w:sz w:val="26"/>
        </w:rPr>
      </w:pPr>
    </w:p>
    <w:p>
      <w:pPr>
        <w:pStyle w:val="5"/>
        <w:tabs>
          <w:tab w:val="left" w:pos="1980"/>
        </w:tabs>
        <w:spacing w:before="202"/>
      </w:pPr>
      <w:r>
        <w:rPr>
          <w:rFonts w:ascii="Times New Roman" w:eastAsia="Times New Roman"/>
          <w:u w:val="single"/>
        </w:rPr>
        <w:t xml:space="preserve"> </w:t>
      </w:r>
      <w:r>
        <w:rPr>
          <w:rFonts w:ascii="Times New Roman" w:eastAsia="Times New Roman"/>
          <w:u w:val="single"/>
        </w:rPr>
        <w:tab/>
      </w:r>
      <w:r>
        <w:t>（招标人名称</w:t>
      </w:r>
      <w:r>
        <w:rPr>
          <w:spacing w:val="-10"/>
        </w:rPr>
        <w:t>）：</w:t>
      </w:r>
    </w:p>
    <w:p>
      <w:pPr>
        <w:pStyle w:val="4"/>
        <w:spacing w:before="67"/>
        <w:ind w:left="468"/>
      </w:pPr>
      <w:r>
        <w:rPr>
          <w:b w:val="0"/>
        </w:rPr>
        <w:br w:type="column"/>
      </w:r>
      <w:bookmarkStart w:id="145" w:name="（一）投标函"/>
      <w:bookmarkEnd w:id="145"/>
      <w:r>
        <w:t>（一）投标函</w:t>
      </w:r>
    </w:p>
    <w:p>
      <w:pPr>
        <w:spacing w:after="0"/>
        <w:sectPr>
          <w:type w:val="continuous"/>
          <w:pgSz w:w="11910" w:h="16840"/>
          <w:pgMar w:top="1600" w:right="720" w:bottom="880" w:left="820" w:header="720" w:footer="720" w:gutter="0"/>
          <w:cols w:equalWidth="0" w:num="2">
            <w:col w:w="3901" w:space="40"/>
            <w:col w:w="6429"/>
          </w:cols>
        </w:sectPr>
      </w:pPr>
    </w:p>
    <w:p>
      <w:pPr>
        <w:pStyle w:val="10"/>
        <w:numPr>
          <w:ilvl w:val="0"/>
          <w:numId w:val="125"/>
        </w:numPr>
        <w:tabs>
          <w:tab w:val="left" w:pos="1262"/>
          <w:tab w:val="left" w:pos="4594"/>
        </w:tabs>
        <w:spacing w:before="98" w:after="0" w:line="314" w:lineRule="auto"/>
        <w:ind w:left="540" w:right="639" w:firstLine="480"/>
        <w:jc w:val="both"/>
        <w:rPr>
          <w:sz w:val="24"/>
        </w:rPr>
      </w:pPr>
      <w:r>
        <w:rPr>
          <w:sz w:val="24"/>
        </w:rPr>
        <w:t>我方已仔细研究了</w:t>
      </w:r>
      <w:r>
        <w:rPr>
          <w:sz w:val="24"/>
          <w:u w:val="single"/>
        </w:rPr>
        <w:t xml:space="preserve"> </w:t>
      </w:r>
      <w:r>
        <w:rPr>
          <w:sz w:val="24"/>
          <w:u w:val="single"/>
        </w:rPr>
        <w:tab/>
      </w:r>
      <w:r>
        <w:rPr>
          <w:spacing w:val="-3"/>
          <w:sz w:val="24"/>
        </w:rPr>
        <w:t>（</w:t>
      </w:r>
      <w:r>
        <w:rPr>
          <w:sz w:val="24"/>
        </w:rPr>
        <w:t>项目名称</w:t>
      </w:r>
      <w:r>
        <w:rPr>
          <w:spacing w:val="-27"/>
          <w:sz w:val="24"/>
        </w:rPr>
        <w:t>）</w:t>
      </w:r>
      <w:r>
        <w:rPr>
          <w:spacing w:val="-27"/>
          <w:sz w:val="24"/>
          <w:u w:val="single"/>
        </w:rPr>
        <w:t xml:space="preserve">   </w:t>
      </w:r>
      <w:r>
        <w:rPr>
          <w:spacing w:val="15"/>
          <w:sz w:val="24"/>
        </w:rPr>
        <w:t xml:space="preserve"> </w:t>
      </w:r>
      <w:r>
        <w:rPr>
          <w:sz w:val="24"/>
        </w:rPr>
        <w:t>合同段施工招标文件的全部</w:t>
      </w:r>
      <w:r>
        <w:rPr>
          <w:spacing w:val="-16"/>
          <w:sz w:val="24"/>
        </w:rPr>
        <w:t>内</w:t>
      </w:r>
      <w:r>
        <w:rPr>
          <w:sz w:val="24"/>
        </w:rPr>
        <w:t>容（含补遗书第</w:t>
      </w:r>
      <w:r>
        <w:rPr>
          <w:spacing w:val="25"/>
          <w:sz w:val="24"/>
        </w:rPr>
        <w:t xml:space="preserve"> </w:t>
      </w:r>
      <w:r>
        <w:rPr>
          <w:sz w:val="24"/>
        </w:rPr>
        <w:t>号至第</w:t>
      </w:r>
      <w:r>
        <w:rPr>
          <w:spacing w:val="27"/>
          <w:sz w:val="24"/>
        </w:rPr>
        <w:t xml:space="preserve"> </w:t>
      </w:r>
      <w:r>
        <w:rPr>
          <w:sz w:val="24"/>
        </w:rPr>
        <w:t>号），在考察工程现场后，愿意以第二个阶段（报价文件） 中的投标总报价（或根据招标文件规定修正核实后确定的另一金额），按合同约定实施和完成承包工程，修补工程中的任何缺陷。</w:t>
      </w:r>
    </w:p>
    <w:p>
      <w:pPr>
        <w:pStyle w:val="10"/>
        <w:numPr>
          <w:ilvl w:val="0"/>
          <w:numId w:val="125"/>
        </w:numPr>
        <w:tabs>
          <w:tab w:val="left" w:pos="1262"/>
        </w:tabs>
        <w:spacing w:before="6" w:after="0" w:line="240" w:lineRule="auto"/>
        <w:ind w:left="1261" w:right="0" w:hanging="242"/>
        <w:jc w:val="left"/>
        <w:rPr>
          <w:sz w:val="24"/>
        </w:rPr>
      </w:pPr>
      <w:r>
        <w:rPr>
          <w:sz w:val="24"/>
        </w:rPr>
        <w:t>我方承诺在招标文件规定的投标有效期内不撤销投标文件。</w:t>
      </w:r>
    </w:p>
    <w:p>
      <w:pPr>
        <w:pStyle w:val="10"/>
        <w:numPr>
          <w:ilvl w:val="0"/>
          <w:numId w:val="125"/>
        </w:numPr>
        <w:tabs>
          <w:tab w:val="left" w:pos="1262"/>
          <w:tab w:val="left" w:pos="3660"/>
          <w:tab w:val="left" w:pos="5820"/>
          <w:tab w:val="left" w:pos="7500"/>
        </w:tabs>
        <w:spacing w:before="98" w:after="0" w:line="240" w:lineRule="auto"/>
        <w:ind w:left="1261" w:right="0" w:hanging="242"/>
        <w:jc w:val="left"/>
        <w:rPr>
          <w:sz w:val="24"/>
        </w:rPr>
      </w:pPr>
      <w:r>
        <w:rPr>
          <w:sz w:val="24"/>
        </w:rPr>
        <w:t>工程质量要求：</w:t>
      </w:r>
      <w:r>
        <w:rPr>
          <w:sz w:val="24"/>
          <w:u w:val="single"/>
        </w:rPr>
        <w:t xml:space="preserve"> </w:t>
      </w:r>
      <w:r>
        <w:rPr>
          <w:sz w:val="24"/>
          <w:u w:val="single"/>
        </w:rPr>
        <w:tab/>
      </w:r>
      <w:r>
        <w:rPr>
          <w:sz w:val="24"/>
        </w:rPr>
        <w:t>，安全目标：</w:t>
      </w:r>
      <w:r>
        <w:rPr>
          <w:sz w:val="24"/>
          <w:u w:val="single"/>
        </w:rPr>
        <w:t xml:space="preserve"> </w:t>
      </w:r>
      <w:r>
        <w:rPr>
          <w:sz w:val="24"/>
          <w:u w:val="single"/>
        </w:rPr>
        <w:tab/>
      </w:r>
      <w:r>
        <w:rPr>
          <w:sz w:val="24"/>
        </w:rPr>
        <w:t>，工期：</w:t>
      </w:r>
      <w:r>
        <w:rPr>
          <w:sz w:val="24"/>
          <w:u w:val="single"/>
        </w:rPr>
        <w:t xml:space="preserve"> </w:t>
      </w:r>
      <w:r>
        <w:rPr>
          <w:sz w:val="24"/>
          <w:u w:val="single"/>
        </w:rPr>
        <w:tab/>
      </w:r>
      <w:r>
        <w:rPr>
          <w:sz w:val="24"/>
        </w:rPr>
        <w:t>。</w:t>
      </w:r>
    </w:p>
    <w:p>
      <w:pPr>
        <w:pStyle w:val="10"/>
        <w:numPr>
          <w:ilvl w:val="0"/>
          <w:numId w:val="125"/>
        </w:numPr>
        <w:tabs>
          <w:tab w:val="left" w:pos="1262"/>
        </w:tabs>
        <w:spacing w:before="96" w:after="0" w:line="240" w:lineRule="auto"/>
        <w:ind w:left="1261" w:right="0" w:hanging="242"/>
        <w:jc w:val="left"/>
        <w:rPr>
          <w:sz w:val="24"/>
        </w:rPr>
      </w:pPr>
      <w:r>
        <w:rPr>
          <w:sz w:val="24"/>
        </w:rPr>
        <w:t>如我方中标：</w:t>
      </w:r>
    </w:p>
    <w:p>
      <w:pPr>
        <w:pStyle w:val="10"/>
        <w:numPr>
          <w:ilvl w:val="0"/>
          <w:numId w:val="126"/>
        </w:numPr>
        <w:tabs>
          <w:tab w:val="left" w:pos="1622"/>
        </w:tabs>
        <w:spacing w:before="98" w:after="0" w:line="240" w:lineRule="auto"/>
        <w:ind w:left="1621" w:right="0" w:hanging="602"/>
        <w:jc w:val="left"/>
        <w:rPr>
          <w:sz w:val="24"/>
        </w:rPr>
      </w:pPr>
      <w:r>
        <w:rPr>
          <w:sz w:val="24"/>
        </w:rPr>
        <w:t>我方承诺在收到中标通知书后，在中标通知书规定的期限内与你方签订合同。</w:t>
      </w:r>
    </w:p>
    <w:p>
      <w:pPr>
        <w:pStyle w:val="10"/>
        <w:numPr>
          <w:ilvl w:val="0"/>
          <w:numId w:val="126"/>
        </w:numPr>
        <w:tabs>
          <w:tab w:val="left" w:pos="1622"/>
        </w:tabs>
        <w:spacing w:before="96" w:after="0" w:line="240" w:lineRule="auto"/>
        <w:ind w:left="1621" w:right="0" w:hanging="602"/>
        <w:jc w:val="left"/>
        <w:rPr>
          <w:sz w:val="24"/>
        </w:rPr>
      </w:pPr>
      <w:r>
        <w:rPr>
          <w:sz w:val="24"/>
        </w:rPr>
        <w:t>在签订合同时不向你方提出附加条件；</w:t>
      </w:r>
    </w:p>
    <w:p>
      <w:pPr>
        <w:pStyle w:val="10"/>
        <w:numPr>
          <w:ilvl w:val="0"/>
          <w:numId w:val="126"/>
        </w:numPr>
        <w:tabs>
          <w:tab w:val="left" w:pos="1622"/>
        </w:tabs>
        <w:spacing w:before="98" w:after="0" w:line="240" w:lineRule="auto"/>
        <w:ind w:left="1621" w:right="0" w:hanging="602"/>
        <w:jc w:val="left"/>
        <w:rPr>
          <w:sz w:val="24"/>
        </w:rPr>
      </w:pPr>
      <w:r>
        <w:rPr>
          <w:sz w:val="24"/>
        </w:rPr>
        <w:t>按照招标文件要求提交履约保证金</w:t>
      </w:r>
      <w:r>
        <w:rPr>
          <w:rFonts w:hint="eastAsia"/>
          <w:sz w:val="24"/>
          <w:lang w:eastAsia="zh-CN"/>
        </w:rPr>
        <w:t>（</w:t>
      </w:r>
      <w:r>
        <w:rPr>
          <w:rFonts w:hint="eastAsia"/>
          <w:sz w:val="24"/>
          <w:lang w:val="en-US" w:eastAsia="zh-CN"/>
        </w:rPr>
        <w:t>如有</w:t>
      </w:r>
      <w:r>
        <w:rPr>
          <w:rFonts w:hint="eastAsia"/>
          <w:sz w:val="24"/>
          <w:lang w:eastAsia="zh-CN"/>
        </w:rPr>
        <w:t>）</w:t>
      </w:r>
      <w:r>
        <w:rPr>
          <w:sz w:val="24"/>
        </w:rPr>
        <w:t>；</w:t>
      </w:r>
    </w:p>
    <w:p>
      <w:pPr>
        <w:pStyle w:val="10"/>
        <w:numPr>
          <w:ilvl w:val="0"/>
          <w:numId w:val="126"/>
        </w:numPr>
        <w:tabs>
          <w:tab w:val="left" w:pos="1622"/>
        </w:tabs>
        <w:spacing w:before="96" w:after="0" w:line="240" w:lineRule="auto"/>
        <w:ind w:left="1621" w:right="0" w:hanging="602"/>
        <w:jc w:val="left"/>
        <w:rPr>
          <w:sz w:val="24"/>
        </w:rPr>
      </w:pPr>
      <w:r>
        <w:rPr>
          <w:sz w:val="24"/>
        </w:rPr>
        <w:t>在合同约定的期限内完成合同规定的全部义务。</w:t>
      </w:r>
    </w:p>
    <w:p>
      <w:pPr>
        <w:pStyle w:val="10"/>
        <w:numPr>
          <w:ilvl w:val="0"/>
          <w:numId w:val="126"/>
        </w:numPr>
        <w:tabs>
          <w:tab w:val="left" w:pos="1622"/>
        </w:tabs>
        <w:spacing w:before="98" w:after="0" w:line="316" w:lineRule="auto"/>
        <w:ind w:left="540" w:right="639" w:firstLine="480"/>
        <w:jc w:val="both"/>
        <w:rPr>
          <w:sz w:val="24"/>
        </w:rPr>
      </w:pPr>
      <w:r>
        <w:rPr>
          <w:spacing w:val="-2"/>
          <w:sz w:val="24"/>
        </w:rPr>
        <w:t>在你方和我方进行合同谈判之前，我方将按照合同附件提出的最低要求填报</w:t>
      </w:r>
      <w:r>
        <w:rPr>
          <w:spacing w:val="-4"/>
          <w:sz w:val="24"/>
        </w:rPr>
        <w:t>派驻本合同段的其他管理和技术人员及主要机械设备和试验检测设备，经你方审批后作为派驻本合同段的项目管理机构主要人员和主要设备且不进行更换。如我方拟派驻的人员和设备不满足合同附件要求，你方有权取消我方中标资格。</w:t>
      </w:r>
    </w:p>
    <w:p>
      <w:pPr>
        <w:pStyle w:val="10"/>
        <w:numPr>
          <w:ilvl w:val="0"/>
          <w:numId w:val="125"/>
        </w:numPr>
        <w:tabs>
          <w:tab w:val="left" w:pos="1262"/>
        </w:tabs>
        <w:spacing w:before="0" w:after="0" w:line="302" w:lineRule="exact"/>
        <w:ind w:left="1261" w:right="0" w:hanging="242"/>
        <w:jc w:val="left"/>
        <w:rPr>
          <w:sz w:val="24"/>
        </w:rPr>
      </w:pPr>
      <w:r>
        <w:rPr>
          <w:sz w:val="24"/>
        </w:rPr>
        <w:t>我方在此声明，所递交的投标文件及有关资料内容完整、真实和准确。</w:t>
      </w:r>
    </w:p>
    <w:p>
      <w:pPr>
        <w:pStyle w:val="10"/>
        <w:numPr>
          <w:ilvl w:val="0"/>
          <w:numId w:val="125"/>
        </w:numPr>
        <w:tabs>
          <w:tab w:val="left" w:pos="1262"/>
        </w:tabs>
        <w:spacing w:before="98" w:after="0" w:line="314" w:lineRule="auto"/>
        <w:ind w:left="540" w:right="642" w:firstLine="480"/>
        <w:jc w:val="left"/>
        <w:rPr>
          <w:sz w:val="24"/>
        </w:rPr>
      </w:pPr>
      <w:r>
        <w:rPr>
          <w:sz w:val="24"/>
        </w:rPr>
        <w:t>在合同协议书正式签署生效之前，本投标函连同你方的中标通知书将构成我们双方之间共同遵守的文件，对双方具有约束力。</w:t>
      </w:r>
    </w:p>
    <w:p>
      <w:pPr>
        <w:pStyle w:val="10"/>
        <w:numPr>
          <w:ilvl w:val="0"/>
          <w:numId w:val="125"/>
        </w:numPr>
        <w:tabs>
          <w:tab w:val="left" w:pos="1308"/>
          <w:tab w:val="left" w:pos="6288"/>
        </w:tabs>
        <w:spacing w:before="39" w:after="0" w:line="240" w:lineRule="auto"/>
        <w:ind w:left="1308" w:right="0" w:hanging="257"/>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 其他补充说明）。</w:t>
      </w:r>
    </w:p>
    <w:p>
      <w:pPr>
        <w:pStyle w:val="5"/>
        <w:ind w:left="0"/>
        <w:rPr>
          <w:sz w:val="26"/>
        </w:rPr>
      </w:pPr>
    </w:p>
    <w:p>
      <w:pPr>
        <w:pStyle w:val="5"/>
        <w:spacing w:before="6"/>
        <w:ind w:left="0"/>
        <w:rPr>
          <w:sz w:val="22"/>
        </w:rPr>
      </w:pPr>
    </w:p>
    <w:p>
      <w:pPr>
        <w:pStyle w:val="5"/>
        <w:tabs>
          <w:tab w:val="left" w:pos="7620"/>
          <w:tab w:val="left" w:pos="8100"/>
          <w:tab w:val="left" w:pos="8999"/>
        </w:tabs>
        <w:spacing w:line="316" w:lineRule="auto"/>
        <w:ind w:left="3660" w:right="1304"/>
        <w:jc w:val="both"/>
        <w:rPr>
          <w:rFonts w:ascii="Times New Roman" w:eastAsia="Times New Roman"/>
        </w:rPr>
      </w:pPr>
      <w:r>
        <w:t>投 标</w:t>
      </w:r>
      <w:r>
        <w:rPr>
          <w:spacing w:val="-1"/>
        </w:rPr>
        <w:t xml:space="preserve"> </w:t>
      </w:r>
      <w:r>
        <w:t>人：</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w:t>
      </w:r>
      <w:r>
        <w:rPr>
          <w:spacing w:val="-17"/>
        </w:rPr>
        <w:t xml:space="preserve">） </w:t>
      </w:r>
      <w:r>
        <w:rPr>
          <w:spacing w:val="-1"/>
        </w:rPr>
        <w:t>地</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网</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电</w:t>
      </w:r>
      <w:r>
        <w:t>话：</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传</w:t>
      </w:r>
      <w:r>
        <w:t>真：</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邮</w:t>
      </w:r>
      <w:r>
        <w:t>政编码：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tabs>
          <w:tab w:val="left" w:pos="720"/>
          <w:tab w:val="left" w:pos="1440"/>
          <w:tab w:val="left" w:pos="2160"/>
        </w:tabs>
        <w:spacing w:line="298" w:lineRule="exact"/>
        <w:ind w:left="0" w:right="639"/>
        <w:jc w:val="right"/>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line="298" w:lineRule="exact"/>
        <w:jc w:val="right"/>
        <w:sectPr>
          <w:type w:val="continuous"/>
          <w:pgSz w:w="11910" w:h="16840"/>
          <w:pgMar w:top="1600" w:right="720" w:bottom="880" w:left="820" w:header="720" w:footer="720" w:gutter="0"/>
          <w:cols w:space="720" w:num="1"/>
        </w:sectPr>
      </w:pPr>
    </w:p>
    <w:p>
      <w:pPr>
        <w:pStyle w:val="5"/>
        <w:ind w:left="0"/>
        <w:rPr>
          <w:sz w:val="28"/>
        </w:rPr>
      </w:pPr>
    </w:p>
    <w:p>
      <w:pPr>
        <w:pStyle w:val="4"/>
        <w:spacing w:before="67"/>
        <w:ind w:left="262" w:right="360"/>
        <w:jc w:val="center"/>
      </w:pPr>
      <w:bookmarkStart w:id="146" w:name="二、授权委托书或法定代表人身份证明"/>
      <w:bookmarkEnd w:id="146"/>
      <w:bookmarkStart w:id="147" w:name="（二）投标函附录"/>
      <w:bookmarkEnd w:id="147"/>
      <w:r>
        <w:t>（二）投标函附录</w:t>
      </w:r>
    </w:p>
    <w:p>
      <w:pPr>
        <w:pStyle w:val="5"/>
        <w:spacing w:before="2" w:after="1"/>
        <w:ind w:left="0"/>
        <w:rPr>
          <w:b/>
          <w:sz w:val="12"/>
        </w:rPr>
      </w:pPr>
    </w:p>
    <w:tbl>
      <w:tblPr>
        <w:tblStyle w:val="7"/>
        <w:tblW w:w="0" w:type="auto"/>
        <w:tblInd w:w="3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53"/>
        <w:gridCol w:w="2693"/>
        <w:gridCol w:w="1417"/>
        <w:gridCol w:w="3686"/>
        <w:gridCol w:w="119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bottom w:val="single" w:color="000000" w:sz="6" w:space="0"/>
              <w:right w:val="single" w:color="000000" w:sz="6" w:space="0"/>
            </w:tcBorders>
          </w:tcPr>
          <w:p>
            <w:pPr>
              <w:pStyle w:val="11"/>
              <w:spacing w:before="28"/>
              <w:ind w:left="94" w:right="76"/>
              <w:jc w:val="center"/>
              <w:rPr>
                <w:sz w:val="21"/>
              </w:rPr>
            </w:pPr>
            <w:r>
              <w:rPr>
                <w:sz w:val="21"/>
              </w:rPr>
              <w:t>序号</w:t>
            </w:r>
          </w:p>
        </w:tc>
        <w:tc>
          <w:tcPr>
            <w:tcW w:w="2693" w:type="dxa"/>
            <w:tcBorders>
              <w:left w:val="single" w:color="000000" w:sz="6" w:space="0"/>
              <w:bottom w:val="single" w:color="000000" w:sz="6" w:space="0"/>
              <w:right w:val="single" w:color="000000" w:sz="6" w:space="0"/>
            </w:tcBorders>
          </w:tcPr>
          <w:p>
            <w:pPr>
              <w:pStyle w:val="11"/>
              <w:spacing w:before="3"/>
              <w:ind w:left="131" w:right="106"/>
              <w:jc w:val="center"/>
              <w:rPr>
                <w:sz w:val="24"/>
              </w:rPr>
            </w:pPr>
            <w:r>
              <w:rPr>
                <w:sz w:val="24"/>
              </w:rPr>
              <w:t>条款名称</w:t>
            </w:r>
          </w:p>
        </w:tc>
        <w:tc>
          <w:tcPr>
            <w:tcW w:w="1417" w:type="dxa"/>
            <w:tcBorders>
              <w:left w:val="single" w:color="000000" w:sz="6" w:space="0"/>
              <w:bottom w:val="single" w:color="000000" w:sz="6" w:space="0"/>
              <w:right w:val="single" w:color="000000" w:sz="6" w:space="0"/>
            </w:tcBorders>
          </w:tcPr>
          <w:p>
            <w:pPr>
              <w:pStyle w:val="11"/>
              <w:spacing w:before="3"/>
              <w:ind w:left="115"/>
              <w:rPr>
                <w:sz w:val="24"/>
              </w:rPr>
            </w:pPr>
            <w:r>
              <w:rPr>
                <w:sz w:val="24"/>
              </w:rPr>
              <w:t>合同条目号</w:t>
            </w:r>
          </w:p>
        </w:tc>
        <w:tc>
          <w:tcPr>
            <w:tcW w:w="3686" w:type="dxa"/>
            <w:tcBorders>
              <w:left w:val="single" w:color="000000" w:sz="6" w:space="0"/>
              <w:bottom w:val="single" w:color="000000" w:sz="6" w:space="0"/>
              <w:right w:val="single" w:color="000000" w:sz="6" w:space="0"/>
            </w:tcBorders>
          </w:tcPr>
          <w:p>
            <w:pPr>
              <w:pStyle w:val="11"/>
              <w:spacing w:before="3"/>
              <w:ind w:left="1349" w:right="1321"/>
              <w:jc w:val="center"/>
              <w:rPr>
                <w:sz w:val="24"/>
              </w:rPr>
            </w:pPr>
            <w:r>
              <w:rPr>
                <w:sz w:val="24"/>
              </w:rPr>
              <w:t>约定内容</w:t>
            </w:r>
          </w:p>
        </w:tc>
        <w:tc>
          <w:tcPr>
            <w:tcW w:w="1190" w:type="dxa"/>
            <w:tcBorders>
              <w:left w:val="single" w:color="000000" w:sz="6" w:space="0"/>
              <w:bottom w:val="single" w:color="000000" w:sz="6" w:space="0"/>
            </w:tcBorders>
          </w:tcPr>
          <w:p>
            <w:pPr>
              <w:pStyle w:val="11"/>
              <w:spacing w:before="3"/>
              <w:ind w:left="362"/>
              <w:rPr>
                <w:sz w:val="24"/>
              </w:rPr>
            </w:pPr>
            <w:r>
              <w:rPr>
                <w:sz w:val="24"/>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28"/>
              <w:ind w:left="22"/>
              <w:jc w:val="center"/>
              <w:rPr>
                <w:sz w:val="21"/>
              </w:rPr>
            </w:pPr>
            <w:r>
              <w:rPr>
                <w:w w:val="99"/>
                <w:sz w:val="21"/>
              </w:rPr>
              <w:t>1</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项目经理</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1.1.2.4</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姓名：</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2</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工期</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1.1.4.3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工期：270 日历天</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3</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缺陷责任期</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295"/>
              <w:rPr>
                <w:sz w:val="24"/>
              </w:rPr>
            </w:pPr>
            <w:r>
              <w:rPr>
                <w:sz w:val="24"/>
              </w:rPr>
              <w:t>1.1.4.5</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自实际交工日期起计算</w:t>
            </w:r>
            <w:r>
              <w:rPr>
                <w:sz w:val="24"/>
                <w:u w:val="single"/>
              </w:rPr>
              <w:t xml:space="preserve"> 2 </w:t>
            </w:r>
            <w:r>
              <w:rPr>
                <w:sz w:val="24"/>
              </w:rPr>
              <w:t>年</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5" w:hRule="atLeast"/>
        </w:trPr>
        <w:tc>
          <w:tcPr>
            <w:tcW w:w="653" w:type="dxa"/>
            <w:tcBorders>
              <w:top w:val="single" w:color="000000" w:sz="6" w:space="0"/>
              <w:bottom w:val="single" w:color="000000" w:sz="6" w:space="0"/>
              <w:right w:val="single" w:color="000000" w:sz="6" w:space="0"/>
            </w:tcBorders>
          </w:tcPr>
          <w:p>
            <w:pPr>
              <w:pStyle w:val="11"/>
              <w:spacing w:before="27"/>
              <w:ind w:left="22"/>
              <w:jc w:val="center"/>
              <w:rPr>
                <w:sz w:val="21"/>
              </w:rPr>
            </w:pPr>
            <w:r>
              <w:rPr>
                <w:w w:val="99"/>
                <w:sz w:val="21"/>
              </w:rPr>
              <w:t>4</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逾期交工违约金</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175"/>
              <w:rPr>
                <w:sz w:val="24"/>
              </w:rPr>
            </w:pPr>
            <w:r>
              <w:rPr>
                <w:sz w:val="24"/>
              </w:rPr>
              <w:t>11.5（3）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ind w:left="354"/>
              <w:rPr>
                <w:sz w:val="24"/>
              </w:rPr>
            </w:pPr>
            <w:r>
              <w:rPr>
                <w:b/>
                <w:sz w:val="24"/>
                <w:u w:val="single"/>
              </w:rPr>
              <w:t>5000</w:t>
            </w:r>
            <w:r>
              <w:rPr>
                <w:b/>
                <w:spacing w:val="-64"/>
                <w:sz w:val="24"/>
              </w:rPr>
              <w:t xml:space="preserve"> </w:t>
            </w:r>
            <w:r>
              <w:rPr>
                <w:sz w:val="24"/>
              </w:rPr>
              <w:t>元/天</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8"/>
              <w:ind w:left="22"/>
              <w:jc w:val="center"/>
              <w:rPr>
                <w:sz w:val="21"/>
              </w:rPr>
            </w:pPr>
            <w:r>
              <w:rPr>
                <w:w w:val="99"/>
                <w:sz w:val="21"/>
              </w:rPr>
              <w:t>5</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逾期交工违约金限额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175"/>
              <w:rPr>
                <w:sz w:val="24"/>
              </w:rPr>
            </w:pPr>
            <w:r>
              <w:rPr>
                <w:sz w:val="24"/>
              </w:rPr>
              <w:t>11.5（3）</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353"/>
              <w:rPr>
                <w:sz w:val="24"/>
              </w:rPr>
            </w:pPr>
            <w:r>
              <w:rPr>
                <w:rFonts w:ascii="Times New Roman" w:eastAsia="Times New Roman"/>
                <w:b/>
                <w:sz w:val="24"/>
                <w:u w:val="single"/>
              </w:rPr>
              <w:t xml:space="preserve">  </w:t>
            </w:r>
            <w:r>
              <w:rPr>
                <w:b/>
                <w:sz w:val="24"/>
                <w:u w:val="single"/>
              </w:rPr>
              <w:t xml:space="preserve">5 </w:t>
            </w:r>
            <w:r>
              <w:rPr>
                <w:sz w:val="24"/>
              </w:rPr>
              <w:t>%签约合同价</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6</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1"/>
              <w:ind w:left="131" w:right="106"/>
              <w:jc w:val="center"/>
              <w:rPr>
                <w:sz w:val="24"/>
              </w:rPr>
            </w:pPr>
            <w:r>
              <w:rPr>
                <w:sz w:val="24"/>
              </w:rPr>
              <w:t>提前交工的奖金</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1"/>
              <w:ind w:left="475"/>
              <w:rPr>
                <w:sz w:val="24"/>
              </w:rPr>
            </w:pPr>
            <w:r>
              <w:rPr>
                <w:sz w:val="24"/>
              </w:rPr>
              <w:t>11.6</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953"/>
              </w:tabs>
              <w:spacing w:before="1"/>
              <w:ind w:left="353"/>
              <w:rPr>
                <w:sz w:val="24"/>
              </w:rPr>
            </w:pPr>
            <w:r>
              <w:rPr>
                <w:rFonts w:ascii="Times New Roman" w:eastAsia="Times New Roman"/>
                <w:sz w:val="24"/>
                <w:u w:val="single"/>
              </w:rPr>
              <w:t xml:space="preserve">    </w:t>
            </w:r>
            <w:r>
              <w:rPr>
                <w:sz w:val="24"/>
                <w:u w:val="single"/>
              </w:rPr>
              <w:t>/</w:t>
            </w:r>
            <w:r>
              <w:rPr>
                <w:sz w:val="24"/>
                <w:u w:val="single"/>
              </w:rPr>
              <w:tab/>
            </w:r>
            <w:r>
              <w:rPr>
                <w:sz w:val="24"/>
              </w:rPr>
              <w:t>元/天（不适用）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7" w:hRule="atLeast"/>
        </w:trPr>
        <w:tc>
          <w:tcPr>
            <w:tcW w:w="653" w:type="dxa"/>
            <w:tcBorders>
              <w:top w:val="single" w:color="000000" w:sz="6" w:space="0"/>
              <w:bottom w:val="single" w:color="000000" w:sz="6" w:space="0"/>
              <w:right w:val="single" w:color="000000" w:sz="6" w:space="0"/>
            </w:tcBorders>
          </w:tcPr>
          <w:p>
            <w:pPr>
              <w:pStyle w:val="11"/>
              <w:spacing w:before="29"/>
              <w:ind w:left="22"/>
              <w:jc w:val="center"/>
              <w:rPr>
                <w:sz w:val="21"/>
              </w:rPr>
            </w:pPr>
            <w:r>
              <w:rPr>
                <w:w w:val="99"/>
                <w:sz w:val="21"/>
              </w:rPr>
              <w:t>7</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提前交工的奖金限额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475"/>
              <w:rPr>
                <w:sz w:val="24"/>
              </w:rPr>
            </w:pPr>
            <w:r>
              <w:rPr>
                <w:sz w:val="24"/>
              </w:rPr>
              <w:t>11.6</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713"/>
              </w:tabs>
              <w:spacing w:before="2"/>
              <w:ind w:left="113"/>
              <w:rPr>
                <w:sz w:val="24"/>
              </w:rPr>
            </w:pPr>
            <w:r>
              <w:rPr>
                <w:rFonts w:ascii="Times New Roman" w:eastAsia="Times New Roman"/>
                <w:sz w:val="24"/>
                <w:u w:val="single"/>
              </w:rPr>
              <w:t xml:space="preserve">    </w:t>
            </w:r>
            <w:r>
              <w:rPr>
                <w:sz w:val="24"/>
                <w:u w:val="single"/>
              </w:rPr>
              <w:t>/</w:t>
            </w:r>
            <w:r>
              <w:rPr>
                <w:sz w:val="24"/>
                <w:u w:val="single"/>
              </w:rPr>
              <w:tab/>
            </w:r>
            <w:r>
              <w:rPr>
                <w:sz w:val="24"/>
              </w:rPr>
              <w:t>% 签约合同价（不适用）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5" w:hRule="atLeast"/>
        </w:trPr>
        <w:tc>
          <w:tcPr>
            <w:tcW w:w="653" w:type="dxa"/>
            <w:tcBorders>
              <w:top w:val="single" w:color="000000" w:sz="6" w:space="0"/>
              <w:bottom w:val="single" w:color="000000" w:sz="6" w:space="0"/>
              <w:right w:val="single" w:color="000000" w:sz="6" w:space="0"/>
            </w:tcBorders>
          </w:tcPr>
          <w:p>
            <w:pPr>
              <w:pStyle w:val="11"/>
              <w:rPr>
                <w:b/>
                <w:sz w:val="20"/>
              </w:rPr>
            </w:pPr>
          </w:p>
          <w:p>
            <w:pPr>
              <w:pStyle w:val="11"/>
              <w:spacing w:before="162"/>
              <w:ind w:left="22"/>
              <w:jc w:val="center"/>
              <w:rPr>
                <w:sz w:val="21"/>
              </w:rPr>
            </w:pPr>
            <w:r>
              <w:rPr>
                <w:w w:val="99"/>
                <w:sz w:val="21"/>
              </w:rPr>
              <w:t>8</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6"/>
              <w:rPr>
                <w:b/>
                <w:sz w:val="30"/>
              </w:rPr>
            </w:pPr>
          </w:p>
          <w:p>
            <w:pPr>
              <w:pStyle w:val="11"/>
              <w:ind w:left="131" w:right="106"/>
              <w:jc w:val="center"/>
              <w:rPr>
                <w:sz w:val="24"/>
              </w:rPr>
            </w:pPr>
            <w:r>
              <w:rPr>
                <w:sz w:val="24"/>
              </w:rPr>
              <w:t>价格调整的差额计算</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6"/>
              <w:rPr>
                <w:b/>
                <w:sz w:val="30"/>
              </w:rPr>
            </w:pPr>
          </w:p>
          <w:p>
            <w:pPr>
              <w:pStyle w:val="11"/>
              <w:ind w:left="355"/>
              <w:rPr>
                <w:sz w:val="24"/>
              </w:rPr>
            </w:pPr>
            <w:r>
              <w:rPr>
                <w:sz w:val="24"/>
              </w:rPr>
              <w:t>16.1.1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line="242" w:lineRule="auto"/>
              <w:ind w:left="114" w:right="84" w:firstLine="240"/>
              <w:jc w:val="both"/>
              <w:rPr>
                <w:sz w:val="24"/>
              </w:rPr>
            </w:pPr>
            <w:r>
              <w:rPr>
                <w:spacing w:val="6"/>
                <w:sz w:val="24"/>
              </w:rPr>
              <w:t>按照“河南省交通运输厅关于</w:t>
            </w:r>
            <w:r>
              <w:rPr>
                <w:spacing w:val="5"/>
                <w:sz w:val="24"/>
              </w:rPr>
              <w:t>交通建设项目工程施工主要材料价差调整的知道意见豫交建管函</w:t>
            </w:r>
          </w:p>
          <w:p>
            <w:pPr>
              <w:pStyle w:val="11"/>
              <w:spacing w:before="2" w:line="289" w:lineRule="exact"/>
              <w:ind w:left="114"/>
              <w:jc w:val="both"/>
              <w:rPr>
                <w:sz w:val="24"/>
              </w:rPr>
            </w:pPr>
            <w:r>
              <w:rPr>
                <w:sz w:val="24"/>
              </w:rPr>
              <w:t>【2021】15</w:t>
            </w:r>
            <w:r>
              <w:rPr>
                <w:spacing w:val="-8"/>
                <w:sz w:val="24"/>
              </w:rPr>
              <w:t xml:space="preserve"> 号”约定的原则处理</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bottom w:val="single" w:color="000000" w:sz="6" w:space="0"/>
              <w:right w:val="single" w:color="000000" w:sz="6" w:space="0"/>
            </w:tcBorders>
          </w:tcPr>
          <w:p>
            <w:pPr>
              <w:pStyle w:val="11"/>
              <w:spacing w:before="30"/>
              <w:ind w:left="22"/>
              <w:jc w:val="center"/>
              <w:rPr>
                <w:sz w:val="21"/>
              </w:rPr>
            </w:pPr>
            <w:r>
              <w:rPr>
                <w:w w:val="99"/>
                <w:sz w:val="21"/>
              </w:rPr>
              <w:t>9</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ind w:left="131" w:right="106"/>
              <w:jc w:val="center"/>
              <w:rPr>
                <w:sz w:val="24"/>
              </w:rPr>
            </w:pPr>
            <w:r>
              <w:rPr>
                <w:sz w:val="24"/>
              </w:rPr>
              <w:t>开工预付款金额</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ind w:left="115" w:right="-44"/>
              <w:rPr>
                <w:sz w:val="24"/>
              </w:rPr>
            </w:pPr>
            <w:r>
              <w:rPr>
                <w:sz w:val="24"/>
              </w:rPr>
              <w:t>17.2.1（1）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2"/>
              <w:ind w:left="354"/>
              <w:rPr>
                <w:sz w:val="24"/>
              </w:rPr>
            </w:pPr>
            <w:r>
              <w:rPr>
                <w:b/>
                <w:sz w:val="24"/>
                <w:u w:val="single"/>
              </w:rPr>
              <w:t>10</w:t>
            </w:r>
            <w:r>
              <w:rPr>
                <w:sz w:val="24"/>
              </w:rPr>
              <w:t>%签约合同价</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4" w:hRule="atLeast"/>
        </w:trPr>
        <w:tc>
          <w:tcPr>
            <w:tcW w:w="653" w:type="dxa"/>
            <w:tcBorders>
              <w:top w:val="single" w:color="000000" w:sz="6" w:space="0"/>
              <w:bottom w:val="single" w:color="000000" w:sz="6" w:space="0"/>
              <w:right w:val="single" w:color="000000" w:sz="6" w:space="0"/>
            </w:tcBorders>
          </w:tcPr>
          <w:p>
            <w:pPr>
              <w:pStyle w:val="11"/>
              <w:spacing w:before="6"/>
              <w:rPr>
                <w:b/>
                <w:sz w:val="20"/>
              </w:rPr>
            </w:pPr>
          </w:p>
          <w:p>
            <w:pPr>
              <w:pStyle w:val="11"/>
              <w:spacing w:before="1"/>
              <w:ind w:left="94" w:right="72"/>
              <w:jc w:val="center"/>
              <w:rPr>
                <w:sz w:val="21"/>
              </w:rPr>
            </w:pPr>
            <w:r>
              <w:rPr>
                <w:sz w:val="21"/>
              </w:rPr>
              <w:t>10</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2"/>
              <w:rPr>
                <w:b/>
                <w:sz w:val="18"/>
              </w:rPr>
            </w:pPr>
          </w:p>
          <w:p>
            <w:pPr>
              <w:pStyle w:val="11"/>
              <w:ind w:left="131" w:right="106"/>
              <w:jc w:val="center"/>
              <w:rPr>
                <w:sz w:val="24"/>
              </w:rPr>
            </w:pPr>
            <w:r>
              <w:rPr>
                <w:sz w:val="24"/>
              </w:rPr>
              <w:t>材料、设备预付款</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2"/>
              <w:rPr>
                <w:b/>
                <w:sz w:val="18"/>
              </w:rPr>
            </w:pPr>
          </w:p>
          <w:p>
            <w:pPr>
              <w:pStyle w:val="11"/>
              <w:ind w:left="115" w:right="-44"/>
              <w:rPr>
                <w:sz w:val="24"/>
              </w:rPr>
            </w:pPr>
            <w:r>
              <w:rPr>
                <w:sz w:val="24"/>
              </w:rPr>
              <w:t>17.2.1（2）</w:t>
            </w:r>
          </w:p>
        </w:tc>
        <w:tc>
          <w:tcPr>
            <w:tcW w:w="3686" w:type="dxa"/>
            <w:tcBorders>
              <w:top w:val="single" w:color="000000" w:sz="6" w:space="0"/>
              <w:left w:val="single" w:color="000000" w:sz="6" w:space="0"/>
              <w:bottom w:val="single" w:color="000000" w:sz="6" w:space="0"/>
              <w:right w:val="single" w:color="000000" w:sz="6" w:space="0"/>
            </w:tcBorders>
          </w:tcPr>
          <w:p>
            <w:pPr>
              <w:pStyle w:val="11"/>
              <w:tabs>
                <w:tab w:val="left" w:pos="713"/>
              </w:tabs>
              <w:ind w:left="113"/>
              <w:rPr>
                <w:sz w:val="24"/>
              </w:rPr>
            </w:pPr>
            <w:r>
              <w:rPr>
                <w:rFonts w:ascii="Times New Roman" w:eastAsia="Times New Roman"/>
                <w:sz w:val="24"/>
                <w:u w:val="single"/>
              </w:rPr>
              <w:t xml:space="preserve">    </w:t>
            </w:r>
            <w:r>
              <w:rPr>
                <w:sz w:val="24"/>
                <w:u w:val="single"/>
              </w:rPr>
              <w:t>/</w:t>
            </w:r>
            <w:r>
              <w:rPr>
                <w:sz w:val="24"/>
                <w:u w:val="single"/>
              </w:rPr>
              <w:tab/>
            </w:r>
            <w:r>
              <w:rPr>
                <w:spacing w:val="-2"/>
                <w:sz w:val="24"/>
              </w:rPr>
              <w:t>等主要材料、设备单据所列</w:t>
            </w:r>
          </w:p>
          <w:p>
            <w:pPr>
              <w:pStyle w:val="11"/>
              <w:tabs>
                <w:tab w:val="left" w:pos="1433"/>
              </w:tabs>
              <w:spacing w:before="161"/>
              <w:ind w:left="114"/>
              <w:rPr>
                <w:sz w:val="24"/>
              </w:rPr>
            </w:pPr>
            <w:r>
              <w:rPr>
                <w:sz w:val="24"/>
              </w:rPr>
              <w:t>费用的</w:t>
            </w:r>
            <w:r>
              <w:rPr>
                <w:spacing w:val="119"/>
                <w:sz w:val="24"/>
                <w:u w:val="single"/>
              </w:rPr>
              <w:t xml:space="preserve"> </w:t>
            </w:r>
            <w:r>
              <w:rPr>
                <w:sz w:val="24"/>
                <w:u w:val="single"/>
              </w:rPr>
              <w:t>/</w:t>
            </w:r>
            <w:r>
              <w:rPr>
                <w:sz w:val="24"/>
                <w:u w:val="single"/>
              </w:rPr>
              <w:tab/>
            </w:r>
            <w:r>
              <w:rPr>
                <w:sz w:val="24"/>
              </w:rPr>
              <w:t>%（不适用）</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32" w:hRule="atLeast"/>
        </w:trPr>
        <w:tc>
          <w:tcPr>
            <w:tcW w:w="653" w:type="dxa"/>
            <w:tcBorders>
              <w:top w:val="single" w:color="000000" w:sz="6" w:space="0"/>
              <w:bottom w:val="single" w:color="000000" w:sz="6" w:space="0"/>
              <w:right w:val="single" w:color="000000" w:sz="6" w:space="0"/>
            </w:tcBorders>
          </w:tcPr>
          <w:p>
            <w:pPr>
              <w:pStyle w:val="11"/>
              <w:spacing w:before="5"/>
              <w:rPr>
                <w:b/>
                <w:sz w:val="20"/>
              </w:rPr>
            </w:pPr>
          </w:p>
          <w:p>
            <w:pPr>
              <w:pStyle w:val="11"/>
              <w:spacing w:before="1"/>
              <w:ind w:left="94" w:right="72"/>
              <w:jc w:val="center"/>
              <w:rPr>
                <w:sz w:val="21"/>
              </w:rPr>
            </w:pPr>
            <w:r>
              <w:rPr>
                <w:sz w:val="21"/>
              </w:rPr>
              <w:t>11</w:t>
            </w:r>
          </w:p>
        </w:tc>
        <w:tc>
          <w:tcPr>
            <w:tcW w:w="2693" w:type="dxa"/>
            <w:tcBorders>
              <w:top w:val="single" w:color="000000" w:sz="6" w:space="0"/>
              <w:left w:val="single" w:color="000000" w:sz="6" w:space="0"/>
              <w:bottom w:val="single" w:color="000000" w:sz="6" w:space="0"/>
              <w:right w:val="single" w:color="000000" w:sz="6" w:space="0"/>
            </w:tcBorders>
          </w:tcPr>
          <w:p>
            <w:pPr>
              <w:pStyle w:val="11"/>
              <w:spacing w:before="3"/>
              <w:rPr>
                <w:b/>
                <w:sz w:val="18"/>
              </w:rPr>
            </w:pPr>
          </w:p>
          <w:p>
            <w:pPr>
              <w:pStyle w:val="11"/>
              <w:spacing w:before="1"/>
              <w:ind w:left="131" w:right="106"/>
              <w:jc w:val="center"/>
              <w:rPr>
                <w:sz w:val="24"/>
              </w:rPr>
            </w:pPr>
            <w:r>
              <w:rPr>
                <w:sz w:val="24"/>
              </w:rPr>
              <w:t>逾期付款违约金的利率</w:t>
            </w:r>
          </w:p>
        </w:tc>
        <w:tc>
          <w:tcPr>
            <w:tcW w:w="1417" w:type="dxa"/>
            <w:tcBorders>
              <w:top w:val="single" w:color="000000" w:sz="6" w:space="0"/>
              <w:left w:val="single" w:color="000000" w:sz="6" w:space="0"/>
              <w:bottom w:val="single" w:color="000000" w:sz="6" w:space="0"/>
              <w:right w:val="single" w:color="000000" w:sz="6" w:space="0"/>
            </w:tcBorders>
          </w:tcPr>
          <w:p>
            <w:pPr>
              <w:pStyle w:val="11"/>
              <w:spacing w:before="3"/>
              <w:rPr>
                <w:b/>
                <w:sz w:val="18"/>
              </w:rPr>
            </w:pPr>
          </w:p>
          <w:p>
            <w:pPr>
              <w:pStyle w:val="11"/>
              <w:spacing w:before="1"/>
              <w:ind w:left="175"/>
              <w:rPr>
                <w:sz w:val="24"/>
              </w:rPr>
            </w:pPr>
            <w:r>
              <w:rPr>
                <w:sz w:val="24"/>
              </w:rPr>
              <w:t>17.3.3(2)</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ind w:left="114"/>
              <w:rPr>
                <w:sz w:val="24"/>
              </w:rPr>
            </w:pPr>
            <w:r>
              <w:rPr>
                <w:sz w:val="24"/>
              </w:rPr>
              <w:t>逾期付款违约金的利率：</w:t>
            </w:r>
            <w:r>
              <w:rPr>
                <w:sz w:val="24"/>
                <w:u w:val="single"/>
              </w:rPr>
              <w:t>中国人</w:t>
            </w:r>
          </w:p>
          <w:p>
            <w:pPr>
              <w:pStyle w:val="11"/>
              <w:spacing w:before="158"/>
              <w:ind w:left="114"/>
              <w:rPr>
                <w:sz w:val="24"/>
              </w:rPr>
            </w:pPr>
            <w:r>
              <w:rPr>
                <w:sz w:val="24"/>
                <w:u w:val="single"/>
              </w:rPr>
              <w:t>民银行活期存款利率</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34" w:hRule="atLeast"/>
        </w:trPr>
        <w:tc>
          <w:tcPr>
            <w:tcW w:w="653" w:type="dxa"/>
            <w:tcBorders>
              <w:top w:val="single" w:color="000000" w:sz="6" w:space="0"/>
              <w:bottom w:val="single" w:color="000000" w:sz="6" w:space="0"/>
              <w:right w:val="single" w:color="000000" w:sz="6" w:space="0"/>
            </w:tcBorders>
          </w:tcPr>
          <w:p>
            <w:pPr>
              <w:pStyle w:val="11"/>
              <w:rPr>
                <w:b/>
                <w:sz w:val="20"/>
              </w:rPr>
            </w:pPr>
          </w:p>
          <w:p>
            <w:pPr>
              <w:pStyle w:val="11"/>
              <w:rPr>
                <w:b/>
                <w:sz w:val="20"/>
              </w:rPr>
            </w:pPr>
          </w:p>
          <w:p>
            <w:pPr>
              <w:pStyle w:val="11"/>
              <w:rPr>
                <w:b/>
                <w:sz w:val="20"/>
              </w:rPr>
            </w:pPr>
          </w:p>
          <w:p>
            <w:pPr>
              <w:pStyle w:val="11"/>
              <w:spacing w:before="1"/>
              <w:rPr>
                <w:b/>
                <w:sz w:val="15"/>
              </w:rPr>
            </w:pPr>
          </w:p>
          <w:p>
            <w:pPr>
              <w:pStyle w:val="11"/>
              <w:spacing w:before="1"/>
              <w:ind w:left="94" w:right="72"/>
              <w:jc w:val="center"/>
              <w:rPr>
                <w:sz w:val="21"/>
              </w:rPr>
            </w:pPr>
            <w:r>
              <w:rPr>
                <w:sz w:val="21"/>
              </w:rPr>
              <w:t>12</w:t>
            </w:r>
          </w:p>
        </w:tc>
        <w:tc>
          <w:tcPr>
            <w:tcW w:w="2693" w:type="dxa"/>
            <w:tcBorders>
              <w:top w:val="single" w:color="000000" w:sz="6" w:space="0"/>
              <w:left w:val="single" w:color="000000" w:sz="6" w:space="0"/>
              <w:bottom w:val="single" w:color="000000" w:sz="6" w:space="0"/>
              <w:right w:val="single" w:color="000000" w:sz="6" w:space="0"/>
            </w:tcBorders>
          </w:tcPr>
          <w:p>
            <w:pPr>
              <w:pStyle w:val="11"/>
              <w:rPr>
                <w:b/>
                <w:sz w:val="24"/>
              </w:rPr>
            </w:pPr>
          </w:p>
          <w:p>
            <w:pPr>
              <w:pStyle w:val="11"/>
              <w:rPr>
                <w:b/>
                <w:sz w:val="24"/>
              </w:rPr>
            </w:pPr>
          </w:p>
          <w:p>
            <w:pPr>
              <w:pStyle w:val="11"/>
              <w:spacing w:before="12"/>
              <w:rPr>
                <w:b/>
                <w:sz w:val="24"/>
              </w:rPr>
            </w:pPr>
          </w:p>
          <w:p>
            <w:pPr>
              <w:pStyle w:val="11"/>
              <w:spacing w:before="1"/>
              <w:ind w:left="131" w:right="106"/>
              <w:jc w:val="center"/>
              <w:rPr>
                <w:sz w:val="24"/>
              </w:rPr>
            </w:pPr>
            <w:r>
              <w:rPr>
                <w:sz w:val="24"/>
              </w:rPr>
              <w:t>质量保证金金额</w:t>
            </w:r>
          </w:p>
        </w:tc>
        <w:tc>
          <w:tcPr>
            <w:tcW w:w="1417" w:type="dxa"/>
            <w:tcBorders>
              <w:top w:val="single" w:color="000000" w:sz="6" w:space="0"/>
              <w:left w:val="single" w:color="000000" w:sz="6" w:space="0"/>
              <w:bottom w:val="single" w:color="000000" w:sz="6" w:space="0"/>
              <w:right w:val="single" w:color="000000" w:sz="6" w:space="0"/>
            </w:tcBorders>
          </w:tcPr>
          <w:p>
            <w:pPr>
              <w:pStyle w:val="11"/>
              <w:rPr>
                <w:b/>
                <w:sz w:val="24"/>
              </w:rPr>
            </w:pPr>
          </w:p>
          <w:p>
            <w:pPr>
              <w:pStyle w:val="11"/>
              <w:rPr>
                <w:b/>
                <w:sz w:val="24"/>
              </w:rPr>
            </w:pPr>
          </w:p>
          <w:p>
            <w:pPr>
              <w:pStyle w:val="11"/>
              <w:spacing w:before="12"/>
              <w:rPr>
                <w:b/>
                <w:sz w:val="24"/>
              </w:rPr>
            </w:pPr>
          </w:p>
          <w:p>
            <w:pPr>
              <w:pStyle w:val="11"/>
              <w:spacing w:before="1"/>
              <w:ind w:left="355"/>
              <w:rPr>
                <w:sz w:val="24"/>
              </w:rPr>
            </w:pPr>
            <w:r>
              <w:rPr>
                <w:sz w:val="24"/>
              </w:rPr>
              <w:t>17.4.1</w:t>
            </w:r>
          </w:p>
        </w:tc>
        <w:tc>
          <w:tcPr>
            <w:tcW w:w="3686" w:type="dxa"/>
            <w:tcBorders>
              <w:top w:val="single" w:color="000000" w:sz="6" w:space="0"/>
              <w:left w:val="single" w:color="000000" w:sz="6" w:space="0"/>
              <w:bottom w:val="single" w:color="000000" w:sz="6" w:space="0"/>
              <w:right w:val="single" w:color="000000" w:sz="6" w:space="0"/>
            </w:tcBorders>
          </w:tcPr>
          <w:p>
            <w:pPr>
              <w:pStyle w:val="11"/>
              <w:spacing w:before="1" w:line="364" w:lineRule="auto"/>
              <w:ind w:left="114" w:right="83" w:firstLine="239"/>
              <w:jc w:val="both"/>
              <w:rPr>
                <w:sz w:val="24"/>
              </w:rPr>
            </w:pPr>
            <w:r>
              <w:rPr>
                <w:rFonts w:ascii="Times New Roman" w:eastAsia="Times New Roman"/>
                <w:sz w:val="24"/>
                <w:u w:val="single"/>
              </w:rPr>
              <w:t xml:space="preserve">  </w:t>
            </w:r>
            <w:r>
              <w:rPr>
                <w:sz w:val="24"/>
                <w:u w:val="single"/>
              </w:rPr>
              <w:t xml:space="preserve">3 </w:t>
            </w:r>
            <w:r>
              <w:rPr>
                <w:sz w:val="24"/>
              </w:rPr>
              <w:t>%合同价格，若交工验收时承包人具备被招标项目所在地省级交通运输主管部门评定的最高信用等级，发包人给予</w:t>
            </w:r>
            <w:r>
              <w:rPr>
                <w:sz w:val="24"/>
                <w:u w:val="single"/>
              </w:rPr>
              <w:t xml:space="preserve"> 1 </w:t>
            </w:r>
            <w:r>
              <w:rPr>
                <w:sz w:val="24"/>
              </w:rPr>
              <w:t>%合同</w:t>
            </w:r>
          </w:p>
          <w:p>
            <w:pPr>
              <w:pStyle w:val="11"/>
              <w:spacing w:line="305" w:lineRule="exact"/>
              <w:ind w:left="114"/>
              <w:rPr>
                <w:sz w:val="24"/>
              </w:rPr>
            </w:pPr>
            <w:r>
              <w:rPr>
                <w:sz w:val="24"/>
              </w:rPr>
              <w:t>价格质量保证金的优惠</w:t>
            </w:r>
          </w:p>
        </w:tc>
        <w:tc>
          <w:tcPr>
            <w:tcW w:w="1190" w:type="dxa"/>
            <w:tcBorders>
              <w:top w:val="single" w:color="000000" w:sz="6" w:space="0"/>
              <w:left w:val="single" w:color="000000" w:sz="6" w:space="0"/>
              <w:bottom w:val="single" w:color="000000" w:sz="6" w:space="0"/>
            </w:tcBorders>
          </w:tcPr>
          <w:p>
            <w:pPr>
              <w:pStyle w:val="1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6" w:hRule="atLeast"/>
        </w:trPr>
        <w:tc>
          <w:tcPr>
            <w:tcW w:w="653" w:type="dxa"/>
            <w:tcBorders>
              <w:top w:val="single" w:color="000000" w:sz="6" w:space="0"/>
              <w:right w:val="single" w:color="000000" w:sz="6" w:space="0"/>
            </w:tcBorders>
          </w:tcPr>
          <w:p>
            <w:pPr>
              <w:pStyle w:val="11"/>
              <w:spacing w:before="29"/>
              <w:ind w:left="94" w:right="72"/>
              <w:jc w:val="center"/>
              <w:rPr>
                <w:sz w:val="21"/>
              </w:rPr>
            </w:pPr>
            <w:r>
              <w:rPr>
                <w:sz w:val="21"/>
              </w:rPr>
              <w:t>13</w:t>
            </w:r>
          </w:p>
        </w:tc>
        <w:tc>
          <w:tcPr>
            <w:tcW w:w="2693" w:type="dxa"/>
            <w:tcBorders>
              <w:top w:val="single" w:color="000000" w:sz="6" w:space="0"/>
              <w:left w:val="single" w:color="000000" w:sz="6" w:space="0"/>
              <w:right w:val="single" w:color="000000" w:sz="6" w:space="0"/>
            </w:tcBorders>
          </w:tcPr>
          <w:p>
            <w:pPr>
              <w:pStyle w:val="11"/>
              <w:spacing w:before="1"/>
              <w:ind w:left="131" w:right="106"/>
              <w:jc w:val="center"/>
              <w:rPr>
                <w:sz w:val="24"/>
              </w:rPr>
            </w:pPr>
            <w:r>
              <w:rPr>
                <w:sz w:val="24"/>
              </w:rPr>
              <w:t>保修期</w:t>
            </w:r>
          </w:p>
        </w:tc>
        <w:tc>
          <w:tcPr>
            <w:tcW w:w="1417" w:type="dxa"/>
            <w:tcBorders>
              <w:top w:val="single" w:color="000000" w:sz="6" w:space="0"/>
              <w:left w:val="single" w:color="000000" w:sz="6" w:space="0"/>
              <w:right w:val="single" w:color="000000" w:sz="6" w:space="0"/>
            </w:tcBorders>
          </w:tcPr>
          <w:p>
            <w:pPr>
              <w:pStyle w:val="11"/>
              <w:spacing w:before="1"/>
              <w:ind w:left="175"/>
              <w:rPr>
                <w:sz w:val="24"/>
              </w:rPr>
            </w:pPr>
            <w:r>
              <w:rPr>
                <w:sz w:val="24"/>
              </w:rPr>
              <w:t>19.7（1）</w:t>
            </w:r>
          </w:p>
        </w:tc>
        <w:tc>
          <w:tcPr>
            <w:tcW w:w="3686" w:type="dxa"/>
            <w:tcBorders>
              <w:top w:val="single" w:color="000000" w:sz="6" w:space="0"/>
              <w:left w:val="single" w:color="000000" w:sz="6" w:space="0"/>
              <w:right w:val="single" w:color="000000" w:sz="6" w:space="0"/>
            </w:tcBorders>
          </w:tcPr>
          <w:p>
            <w:pPr>
              <w:pStyle w:val="11"/>
              <w:spacing w:before="1"/>
              <w:ind w:left="354"/>
              <w:rPr>
                <w:sz w:val="24"/>
              </w:rPr>
            </w:pPr>
            <w:r>
              <w:rPr>
                <w:sz w:val="24"/>
              </w:rPr>
              <w:t>自实际交工日期起计算</w:t>
            </w:r>
            <w:r>
              <w:rPr>
                <w:sz w:val="24"/>
                <w:u w:val="single"/>
              </w:rPr>
              <w:t xml:space="preserve"> 1 </w:t>
            </w:r>
            <w:r>
              <w:rPr>
                <w:sz w:val="24"/>
              </w:rPr>
              <w:t>年</w:t>
            </w:r>
          </w:p>
        </w:tc>
        <w:tc>
          <w:tcPr>
            <w:tcW w:w="1190" w:type="dxa"/>
            <w:tcBorders>
              <w:top w:val="single" w:color="000000" w:sz="6" w:space="0"/>
              <w:left w:val="single" w:color="000000" w:sz="6" w:space="0"/>
            </w:tcBorders>
          </w:tcPr>
          <w:p>
            <w:pPr>
              <w:pStyle w:val="11"/>
              <w:rPr>
                <w:rFonts w:ascii="Times New Roman"/>
                <w:sz w:val="22"/>
              </w:rPr>
            </w:pPr>
          </w:p>
        </w:tc>
      </w:tr>
    </w:tbl>
    <w:p>
      <w:pPr>
        <w:pStyle w:val="5"/>
        <w:tabs>
          <w:tab w:val="left" w:pos="8285"/>
          <w:tab w:val="left" w:pos="8765"/>
        </w:tabs>
        <w:spacing w:before="2" w:line="364" w:lineRule="auto"/>
        <w:ind w:left="4325" w:right="639"/>
      </w:pPr>
      <w:r>
        <w:t>投 标</w:t>
      </w:r>
      <w:r>
        <w:rPr>
          <w:spacing w:val="-1"/>
        </w:rPr>
        <w:t xml:space="preserve"> </w:t>
      </w:r>
      <w:r>
        <w:t>人：</w:t>
      </w:r>
      <w:r>
        <w:rPr>
          <w:u w:val="single"/>
        </w:rPr>
        <w:t xml:space="preserve"> </w:t>
      </w:r>
      <w:r>
        <w:rPr>
          <w:u w:val="single"/>
        </w:rPr>
        <w:tab/>
      </w:r>
      <w:r>
        <w:t>（盖单位章</w:t>
      </w:r>
      <w:r>
        <w:rPr>
          <w:spacing w:val="-17"/>
        </w:rPr>
        <w:t xml:space="preserve">） </w:t>
      </w:r>
      <w:r>
        <w:t>法定代表人或其委托代理人：</w:t>
      </w:r>
      <w:r>
        <w:rPr>
          <w:u w:val="single"/>
        </w:rPr>
        <w:t xml:space="preserve"> </w:t>
      </w:r>
      <w:r>
        <w:rPr>
          <w:u w:val="single"/>
        </w:rPr>
        <w:tab/>
      </w:r>
      <w:r>
        <w:rPr>
          <w:u w:val="single"/>
        </w:rPr>
        <w:tab/>
      </w:r>
      <w:r>
        <w:t>（签字</w:t>
      </w:r>
      <w:r>
        <w:rPr>
          <w:spacing w:val="-17"/>
        </w:rPr>
        <w:t>）</w:t>
      </w:r>
    </w:p>
    <w:p>
      <w:pPr>
        <w:pStyle w:val="5"/>
        <w:spacing w:before="4"/>
        <w:ind w:left="0"/>
        <w:rPr>
          <w:sz w:val="20"/>
        </w:rPr>
      </w:pPr>
    </w:p>
    <w:p>
      <w:pPr>
        <w:pStyle w:val="5"/>
        <w:tabs>
          <w:tab w:val="left" w:pos="719"/>
          <w:tab w:val="left" w:pos="1439"/>
        </w:tabs>
        <w:ind w:left="0" w:right="639"/>
        <w:jc w:val="right"/>
      </w:pPr>
      <w:bookmarkStart w:id="148" w:name="年    月    日"/>
      <w:bookmarkEnd w:id="148"/>
      <w:r>
        <w:t>年</w:t>
      </w:r>
      <w:r>
        <w:rPr>
          <w:u w:val="single"/>
        </w:rPr>
        <w:t xml:space="preserve"> </w:t>
      </w:r>
      <w:r>
        <w:rPr>
          <w:u w:val="single"/>
        </w:rPr>
        <w:tab/>
      </w:r>
      <w:r>
        <w:t>月</w:t>
      </w:r>
      <w:r>
        <w:rPr>
          <w:u w:val="single"/>
        </w:rPr>
        <w:t xml:space="preserve"> </w:t>
      </w:r>
      <w:r>
        <w:rPr>
          <w:u w:val="single"/>
        </w:rPr>
        <w:tab/>
      </w:r>
      <w:r>
        <w:t>日</w:t>
      </w:r>
    </w:p>
    <w:p>
      <w:pPr>
        <w:spacing w:after="0"/>
        <w:jc w:val="right"/>
        <w:sectPr>
          <w:footerReference r:id="rId17" w:type="default"/>
          <w:pgSz w:w="11910" w:h="16840"/>
          <w:pgMar w:top="1380" w:right="720" w:bottom="1080" w:left="820" w:header="746" w:footer="891" w:gutter="0"/>
          <w:pgNumType w:start="100"/>
          <w:cols w:space="720" w:num="1"/>
        </w:sectPr>
      </w:pPr>
    </w:p>
    <w:p>
      <w:pPr>
        <w:spacing w:before="62"/>
        <w:ind w:left="262" w:right="360" w:firstLine="0"/>
        <w:jc w:val="center"/>
        <w:rPr>
          <w:b/>
          <w:sz w:val="32"/>
        </w:rPr>
      </w:pPr>
      <w:r>
        <w:rPr>
          <w:b/>
          <w:sz w:val="32"/>
        </w:rPr>
        <w:t>二、授权委托书或法定代表人身份证明</w:t>
      </w:r>
    </w:p>
    <w:p>
      <w:pPr>
        <w:pStyle w:val="5"/>
        <w:spacing w:before="4"/>
        <w:ind w:left="0"/>
        <w:rPr>
          <w:b/>
          <w:sz w:val="44"/>
        </w:rPr>
      </w:pPr>
    </w:p>
    <w:p>
      <w:pPr>
        <w:pStyle w:val="4"/>
        <w:ind w:left="4169"/>
      </w:pPr>
      <w:bookmarkStart w:id="149" w:name="（一）授权委托书"/>
      <w:bookmarkEnd w:id="149"/>
      <w:r>
        <w:t>（一）授权委托书</w:t>
      </w:r>
    </w:p>
    <w:p>
      <w:pPr>
        <w:pStyle w:val="5"/>
        <w:tabs>
          <w:tab w:val="left" w:pos="2052"/>
          <w:tab w:val="left" w:pos="2355"/>
          <w:tab w:val="left" w:pos="2472"/>
          <w:tab w:val="left" w:pos="4411"/>
          <w:tab w:val="left" w:pos="6831"/>
        </w:tabs>
        <w:spacing w:before="160" w:line="364" w:lineRule="auto"/>
        <w:ind w:right="519" w:firstLine="480"/>
      </w:pPr>
      <w:r>
        <w:t>本人</w:t>
      </w:r>
      <w:r>
        <w:rPr>
          <w:u w:val="single"/>
        </w:rPr>
        <w:t xml:space="preserve"> </w:t>
      </w:r>
      <w:r>
        <w:rPr>
          <w:u w:val="single"/>
        </w:rPr>
        <w:tab/>
      </w:r>
      <w:r>
        <w:rPr>
          <w:u w:val="single"/>
        </w:rPr>
        <w:tab/>
      </w:r>
      <w:r>
        <w:rPr>
          <w:u w:val="single"/>
        </w:rPr>
        <w:tab/>
      </w:r>
      <w:r>
        <w:t>（姓名）系</w:t>
      </w:r>
      <w:r>
        <w:rPr>
          <w:u w:val="single"/>
        </w:rPr>
        <w:t xml:space="preserve"> </w:t>
      </w:r>
      <w:r>
        <w:rPr>
          <w:u w:val="single"/>
        </w:rPr>
        <w:tab/>
      </w:r>
      <w:r>
        <w:rPr>
          <w:u w:val="single"/>
        </w:rPr>
        <w:tab/>
      </w:r>
      <w:r>
        <w:t>（投标人名称）的法定代表人</w:t>
      </w:r>
      <w:r>
        <w:rPr>
          <w:spacing w:val="-24"/>
        </w:rPr>
        <w:t>，</w:t>
      </w:r>
      <w:r>
        <w:t>现委托</w:t>
      </w:r>
      <w:r>
        <w:rPr>
          <w:u w:val="single"/>
        </w:rPr>
        <w:t xml:space="preserve"> </w:t>
      </w:r>
      <w:r>
        <w:rPr>
          <w:u w:val="single"/>
        </w:rPr>
        <w:tab/>
      </w:r>
      <w:r>
        <w:rPr>
          <w:spacing w:val="-3"/>
        </w:rPr>
        <w:t>（</w:t>
      </w:r>
      <w:r>
        <w:t>姓名</w:t>
      </w:r>
      <w:r>
        <w:rPr>
          <w:spacing w:val="-24"/>
        </w:rPr>
        <w:t>）</w:t>
      </w:r>
      <w:r>
        <w:t>为我方代理人</w:t>
      </w:r>
      <w:r>
        <w:rPr>
          <w:spacing w:val="-27"/>
        </w:rPr>
        <w:t>。</w:t>
      </w:r>
      <w:r>
        <w:t>代理人根据授权</w:t>
      </w:r>
      <w:r>
        <w:rPr>
          <w:spacing w:val="-24"/>
        </w:rPr>
        <w:t>，</w:t>
      </w:r>
      <w:r>
        <w:t>以我方名义签署</w:t>
      </w:r>
      <w:r>
        <w:rPr>
          <w:spacing w:val="-24"/>
        </w:rPr>
        <w:t>、</w:t>
      </w:r>
      <w:r>
        <w:t>澄清</w:t>
      </w:r>
      <w:r>
        <w:rPr>
          <w:spacing w:val="-27"/>
        </w:rPr>
        <w:t>、</w:t>
      </w:r>
      <w:r>
        <w:t>递交</w:t>
      </w:r>
      <w:r>
        <w:rPr>
          <w:spacing w:val="-15"/>
        </w:rPr>
        <w:t>、</w:t>
      </w:r>
      <w:r>
        <w:t>撤回、修改</w:t>
      </w:r>
      <w:r>
        <w:rPr>
          <w:u w:val="single"/>
        </w:rPr>
        <w:t xml:space="preserve"> </w:t>
      </w:r>
      <w:r>
        <w:rPr>
          <w:u w:val="single"/>
        </w:rPr>
        <w:tab/>
      </w:r>
      <w:r>
        <w:rPr>
          <w:u w:val="single"/>
        </w:rPr>
        <w:tab/>
      </w:r>
      <w:r>
        <w:t>（项目名称）</w:t>
      </w:r>
      <w:r>
        <w:rPr>
          <w:u w:val="single"/>
        </w:rPr>
        <w:t xml:space="preserve"> </w:t>
      </w:r>
      <w:r>
        <w:rPr>
          <w:u w:val="single"/>
        </w:rPr>
        <w:tab/>
      </w:r>
      <w:r>
        <w:t>合同段施工投标文件、签订合同和处理有关事宜， 其法律后果由我方承担。</w:t>
      </w:r>
    </w:p>
    <w:p>
      <w:pPr>
        <w:pStyle w:val="5"/>
        <w:spacing w:line="362" w:lineRule="auto"/>
        <w:ind w:left="1020" w:right="3584"/>
      </w:pPr>
      <w:r>
        <w:rPr>
          <w:spacing w:val="-1"/>
        </w:rPr>
        <w:t>委托期限：自本委托书签署之日起至投标有效期期满。</w:t>
      </w:r>
      <w:r>
        <w:t>代理人无转委托权。</w:t>
      </w:r>
    </w:p>
    <w:p>
      <w:pPr>
        <w:pStyle w:val="5"/>
        <w:ind w:left="0"/>
      </w:pPr>
    </w:p>
    <w:p>
      <w:pPr>
        <w:pStyle w:val="5"/>
        <w:spacing w:before="164"/>
        <w:ind w:left="1020"/>
      </w:pPr>
      <w:r>
        <w:t>附：法定代表人身份证复印件及委托代理人身份证复印件。</w:t>
      </w:r>
    </w:p>
    <w:p>
      <w:pPr>
        <w:pStyle w:val="5"/>
        <w:ind w:left="0"/>
      </w:pPr>
    </w:p>
    <w:p>
      <w:pPr>
        <w:pStyle w:val="5"/>
        <w:ind w:left="0"/>
      </w:pPr>
    </w:p>
    <w:p>
      <w:pPr>
        <w:pStyle w:val="5"/>
        <w:ind w:left="0"/>
      </w:pPr>
    </w:p>
    <w:p>
      <w:pPr>
        <w:pStyle w:val="5"/>
        <w:tabs>
          <w:tab w:val="left" w:pos="7738"/>
          <w:tab w:val="left" w:pos="8220"/>
          <w:tab w:val="left" w:pos="9119"/>
        </w:tabs>
        <w:spacing w:before="169" w:line="364" w:lineRule="auto"/>
        <w:ind w:left="4380" w:right="1184"/>
        <w:jc w:val="both"/>
        <w:rPr>
          <w:rFonts w:ascii="Times New Roman" w:eastAsia="Times New Roman"/>
        </w:rPr>
      </w:pPr>
      <w:r>
        <w:t>投  标</w:t>
      </w:r>
      <w:r>
        <w:rPr>
          <w:spacing w:val="119"/>
        </w:rPr>
        <w:t xml:space="preserve"> </w:t>
      </w:r>
      <w:r>
        <w:rPr>
          <w:spacing w:val="-3"/>
        </w:rPr>
        <w:t>人</w:t>
      </w:r>
      <w:r>
        <w:t>：</w:t>
      </w:r>
      <w:r>
        <w:rPr>
          <w:u w:val="single"/>
        </w:rPr>
        <w:t xml:space="preserve"> </w:t>
      </w:r>
      <w:r>
        <w:rPr>
          <w:u w:val="single"/>
        </w:rPr>
        <w:tab/>
      </w:r>
      <w:r>
        <w:t>（盖单位章</w:t>
      </w:r>
      <w:r>
        <w:rPr>
          <w:spacing w:val="-15"/>
        </w:rPr>
        <w:t xml:space="preserve">） </w:t>
      </w:r>
      <w:r>
        <w:t>法定代表人：</w:t>
      </w:r>
      <w:r>
        <w:rPr>
          <w:u w:val="single"/>
        </w:rPr>
        <w:t xml:space="preserve"> </w:t>
      </w:r>
      <w:r>
        <w:rPr>
          <w:u w:val="single"/>
        </w:rPr>
        <w:tab/>
      </w:r>
      <w:r>
        <w:rPr>
          <w:u w:val="single"/>
        </w:rPr>
        <w:tab/>
      </w:r>
      <w:r>
        <w:t>（签字</w:t>
      </w:r>
      <w:r>
        <w:rPr>
          <w:spacing w:val="-17"/>
        </w:rPr>
        <w:t xml:space="preserve">） </w:t>
      </w:r>
      <w:r>
        <w:rPr>
          <w:spacing w:val="-1"/>
        </w:rPr>
        <w:t>身</w:t>
      </w:r>
      <w:r>
        <w:t>份证号码：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委托代理人：</w:t>
      </w:r>
      <w:r>
        <w:rPr>
          <w:u w:val="single"/>
        </w:rPr>
        <w:t xml:space="preserve"> </w:t>
      </w:r>
      <w:r>
        <w:rPr>
          <w:u w:val="single"/>
        </w:rPr>
        <w:tab/>
      </w:r>
      <w:r>
        <w:rPr>
          <w:u w:val="single"/>
        </w:rPr>
        <w:tab/>
      </w:r>
      <w:r>
        <w:t>（签字</w:t>
      </w:r>
      <w:r>
        <w:rPr>
          <w:spacing w:val="-17"/>
        </w:rPr>
        <w:t xml:space="preserve">） </w:t>
      </w:r>
      <w:r>
        <w:rPr>
          <w:spacing w:val="-1"/>
        </w:rPr>
        <w:t>身</w:t>
      </w:r>
      <w:r>
        <w:t>份证号码：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tabs>
          <w:tab w:val="left" w:pos="6900"/>
          <w:tab w:val="left" w:pos="7620"/>
          <w:tab w:val="left" w:pos="8340"/>
        </w:tabs>
        <w:spacing w:before="234"/>
        <w:ind w:left="60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pStyle w:val="5"/>
        <w:ind w:left="0"/>
        <w:rPr>
          <w:sz w:val="20"/>
        </w:rPr>
      </w:pPr>
    </w:p>
    <w:p>
      <w:pPr>
        <w:pStyle w:val="5"/>
        <w:ind w:left="0"/>
        <w:rPr>
          <w:sz w:val="20"/>
        </w:rPr>
      </w:pPr>
    </w:p>
    <w:p>
      <w:pPr>
        <w:pStyle w:val="5"/>
        <w:ind w:left="0"/>
        <w:rPr>
          <w:sz w:val="20"/>
        </w:rPr>
      </w:pPr>
    </w:p>
    <w:p>
      <w:pPr>
        <w:pStyle w:val="5"/>
        <w:spacing w:before="4"/>
        <w:ind w:left="0"/>
        <w:rPr>
          <w:sz w:val="15"/>
        </w:rPr>
      </w:pPr>
    </w:p>
    <w:p>
      <w:pPr>
        <w:spacing w:before="70"/>
        <w:ind w:left="540" w:right="0" w:firstLine="0"/>
        <w:jc w:val="left"/>
        <w:rPr>
          <w:sz w:val="21"/>
        </w:rPr>
      </w:pPr>
      <w:r>
        <w:rPr>
          <w:sz w:val="21"/>
        </w:rPr>
        <w:t>注：</w:t>
      </w:r>
    </w:p>
    <w:p>
      <w:pPr>
        <w:pStyle w:val="10"/>
        <w:numPr>
          <w:ilvl w:val="0"/>
          <w:numId w:val="127"/>
        </w:numPr>
        <w:tabs>
          <w:tab w:val="left" w:pos="1172"/>
        </w:tabs>
        <w:spacing w:before="139" w:after="0" w:line="240" w:lineRule="auto"/>
        <w:ind w:left="1172" w:right="0" w:hanging="212"/>
        <w:jc w:val="left"/>
        <w:rPr>
          <w:sz w:val="21"/>
        </w:rPr>
      </w:pPr>
      <w:r>
        <w:rPr>
          <w:spacing w:val="-3"/>
          <w:sz w:val="21"/>
        </w:rPr>
        <w:t>法定代表人和委托代理人必须在授权书上亲笔签名，不得使用印章、签名章或其他电子制版签</w:t>
      </w:r>
    </w:p>
    <w:p>
      <w:pPr>
        <w:spacing w:before="139"/>
        <w:ind w:left="540" w:right="0" w:firstLine="0"/>
        <w:jc w:val="left"/>
        <w:rPr>
          <w:sz w:val="21"/>
        </w:rPr>
      </w:pPr>
      <w:r>
        <w:rPr>
          <w:sz w:val="21"/>
        </w:rPr>
        <w:t>名；</w:t>
      </w:r>
    </w:p>
    <w:p>
      <w:pPr>
        <w:pStyle w:val="10"/>
        <w:numPr>
          <w:ilvl w:val="0"/>
          <w:numId w:val="127"/>
        </w:numPr>
        <w:tabs>
          <w:tab w:val="left" w:pos="1172"/>
        </w:tabs>
        <w:spacing w:before="139" w:after="0" w:line="240" w:lineRule="auto"/>
        <w:ind w:left="1172" w:right="0" w:hanging="212"/>
        <w:jc w:val="left"/>
        <w:rPr>
          <w:sz w:val="21"/>
        </w:rPr>
      </w:pPr>
      <w:r>
        <w:rPr>
          <w:sz w:val="21"/>
        </w:rPr>
        <w:t>如果由投标人的法定代表人签署投标文件，则无须提交授权委托书。</w:t>
      </w:r>
    </w:p>
    <w:p>
      <w:pPr>
        <w:spacing w:after="0" w:line="240" w:lineRule="auto"/>
        <w:jc w:val="left"/>
        <w:rPr>
          <w:sz w:val="21"/>
        </w:rPr>
        <w:sectPr>
          <w:pgSz w:w="11910" w:h="16840"/>
          <w:pgMar w:top="1380" w:right="720" w:bottom="1080" w:left="820" w:header="746" w:footer="891" w:gutter="0"/>
          <w:cols w:space="720" w:num="1"/>
        </w:sectPr>
      </w:pPr>
    </w:p>
    <w:p>
      <w:pPr>
        <w:pStyle w:val="5"/>
        <w:spacing w:before="11"/>
        <w:ind w:left="0"/>
        <w:rPr>
          <w:sz w:val="20"/>
        </w:rPr>
      </w:pPr>
    </w:p>
    <w:p>
      <w:pPr>
        <w:pStyle w:val="4"/>
        <w:spacing w:before="67"/>
        <w:ind w:left="259" w:right="360"/>
        <w:jc w:val="center"/>
      </w:pPr>
      <w:bookmarkStart w:id="150" w:name="（二）法定代表人身份证明"/>
      <w:bookmarkEnd w:id="150"/>
      <w:r>
        <w:t>（二）法定代表人身份证明</w:t>
      </w:r>
    </w:p>
    <w:p>
      <w:pPr>
        <w:pStyle w:val="5"/>
        <w:ind w:left="0"/>
        <w:rPr>
          <w:b/>
        </w:rPr>
      </w:pPr>
    </w:p>
    <w:p>
      <w:pPr>
        <w:pStyle w:val="5"/>
        <w:spacing w:before="11"/>
        <w:ind w:left="0"/>
        <w:rPr>
          <w:b/>
        </w:rPr>
      </w:pPr>
    </w:p>
    <w:p>
      <w:pPr>
        <w:pStyle w:val="5"/>
        <w:tabs>
          <w:tab w:val="left" w:pos="5999"/>
        </w:tabs>
        <w:rPr>
          <w:rFonts w:ascii="Times New Roman" w:eastAsia="Times New Roman"/>
        </w:rPr>
      </w:pPr>
      <w:r>
        <w:rPr>
          <w:spacing w:val="-1"/>
        </w:rPr>
        <w:t>投</w:t>
      </w:r>
      <w:r>
        <w:t>标人名称：</w:t>
      </w:r>
      <w:r>
        <w:rPr>
          <w:rFonts w:ascii="Times New Roman" w:eastAsia="Times New Roman"/>
          <w:u w:val="single"/>
        </w:rPr>
        <w:t xml:space="preserve"> </w:t>
      </w:r>
      <w:r>
        <w:rPr>
          <w:rFonts w:ascii="Times New Roman" w:eastAsia="Times New Roman"/>
          <w:u w:val="single"/>
        </w:rPr>
        <w:tab/>
      </w:r>
    </w:p>
    <w:p>
      <w:pPr>
        <w:pStyle w:val="5"/>
        <w:tabs>
          <w:tab w:val="left" w:pos="3060"/>
          <w:tab w:val="left" w:pos="4380"/>
          <w:tab w:val="left" w:pos="5879"/>
          <w:tab w:val="left" w:pos="7559"/>
          <w:tab w:val="left" w:pos="9479"/>
        </w:tabs>
        <w:spacing w:before="158" w:line="364" w:lineRule="auto"/>
        <w:ind w:right="885"/>
      </w:pPr>
      <w:r>
        <w:t>姓名：</w:t>
      </w:r>
      <w:r>
        <w:rPr>
          <w:spacing w:val="-1"/>
          <w:u w:val="single"/>
        </w:rPr>
        <w:t xml:space="preserve"> </w:t>
      </w:r>
      <w:r>
        <w:rPr>
          <w:u w:val="single"/>
        </w:rPr>
        <w:t>（法定代表人亲笔签名）</w:t>
      </w:r>
      <w:r>
        <w:tab/>
      </w:r>
      <w:r>
        <w:t>性别：</w:t>
      </w:r>
      <w:r>
        <w:rPr>
          <w:u w:val="single"/>
        </w:rPr>
        <w:t xml:space="preserve"> </w:t>
      </w:r>
      <w:r>
        <w:rPr>
          <w:u w:val="single"/>
        </w:rPr>
        <w:tab/>
      </w:r>
      <w:r>
        <w:t>年龄：</w:t>
      </w:r>
      <w:r>
        <w:rPr>
          <w:u w:val="single"/>
        </w:rPr>
        <w:t xml:space="preserve"> </w:t>
      </w:r>
      <w:r>
        <w:rPr>
          <w:u w:val="single"/>
        </w:rPr>
        <w:tab/>
      </w:r>
      <w:r>
        <w:rPr>
          <w:spacing w:val="-1"/>
        </w:rPr>
        <w:t>职</w:t>
      </w:r>
      <w:r>
        <w:t>务：</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 xml:space="preserve"> </w:t>
      </w:r>
      <w:r>
        <w:t>系</w:t>
      </w:r>
      <w:r>
        <w:rPr>
          <w:u w:val="single"/>
        </w:rPr>
        <w:t xml:space="preserve"> </w:t>
      </w:r>
      <w:r>
        <w:rPr>
          <w:u w:val="single"/>
        </w:rPr>
        <w:tab/>
      </w:r>
      <w:r>
        <w:t>（投标人名称）的法定代表人。</w:t>
      </w:r>
    </w:p>
    <w:p>
      <w:pPr>
        <w:pStyle w:val="5"/>
        <w:spacing w:before="5"/>
        <w:ind w:left="0"/>
        <w:rPr>
          <w:sz w:val="36"/>
        </w:rPr>
      </w:pPr>
    </w:p>
    <w:p>
      <w:pPr>
        <w:pStyle w:val="5"/>
        <w:spacing w:before="1"/>
        <w:ind w:left="1020"/>
      </w:pPr>
      <w:r>
        <w:t>特此证明。</w:t>
      </w:r>
    </w:p>
    <w:p>
      <w:pPr>
        <w:pStyle w:val="5"/>
        <w:spacing w:before="158"/>
      </w:pPr>
      <w:r>
        <w:t>附：法定代表人的身份证复印件</w:t>
      </w:r>
    </w:p>
    <w:p>
      <w:pPr>
        <w:pStyle w:val="5"/>
        <w:ind w:left="0"/>
      </w:pPr>
    </w:p>
    <w:p>
      <w:pPr>
        <w:pStyle w:val="5"/>
        <w:ind w:left="0"/>
      </w:pPr>
    </w:p>
    <w:p>
      <w:pPr>
        <w:pStyle w:val="5"/>
        <w:spacing w:before="2"/>
        <w:ind w:left="0"/>
        <w:rPr>
          <w:sz w:val="25"/>
        </w:rPr>
      </w:pPr>
    </w:p>
    <w:p>
      <w:pPr>
        <w:pStyle w:val="5"/>
        <w:tabs>
          <w:tab w:val="left" w:pos="6660"/>
        </w:tabs>
        <w:ind w:left="4020"/>
      </w:pPr>
      <w:r>
        <w:t>投标人：</w:t>
      </w:r>
      <w:r>
        <w:rPr>
          <w:u w:val="single"/>
        </w:rPr>
        <w:t xml:space="preserve"> </w:t>
      </w:r>
      <w:r>
        <w:rPr>
          <w:u w:val="single"/>
        </w:rPr>
        <w:tab/>
      </w:r>
      <w:r>
        <w:t>（盖单位章）</w:t>
      </w:r>
    </w:p>
    <w:p>
      <w:pPr>
        <w:pStyle w:val="5"/>
        <w:ind w:left="0"/>
        <w:rPr>
          <w:sz w:val="20"/>
        </w:rPr>
      </w:pPr>
    </w:p>
    <w:p>
      <w:pPr>
        <w:pStyle w:val="5"/>
        <w:spacing w:before="2"/>
        <w:ind w:left="0"/>
        <w:rPr>
          <w:sz w:val="23"/>
        </w:rPr>
      </w:pPr>
    </w:p>
    <w:p>
      <w:pPr>
        <w:pStyle w:val="5"/>
        <w:tabs>
          <w:tab w:val="left" w:pos="6180"/>
          <w:tab w:val="left" w:pos="6900"/>
          <w:tab w:val="left" w:pos="7620"/>
        </w:tabs>
        <w:spacing w:before="74"/>
        <w:ind w:left="546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pStyle w:val="5"/>
        <w:ind w:left="0"/>
        <w:rPr>
          <w:sz w:val="26"/>
        </w:rPr>
      </w:pPr>
    </w:p>
    <w:p>
      <w:pPr>
        <w:pStyle w:val="5"/>
        <w:ind w:left="0"/>
        <w:rPr>
          <w:sz w:val="26"/>
        </w:rPr>
      </w:pPr>
    </w:p>
    <w:p>
      <w:pPr>
        <w:pStyle w:val="5"/>
        <w:ind w:left="0"/>
        <w:rPr>
          <w:sz w:val="26"/>
        </w:rPr>
      </w:pPr>
    </w:p>
    <w:p>
      <w:pPr>
        <w:pStyle w:val="5"/>
        <w:ind w:left="0"/>
        <w:rPr>
          <w:sz w:val="26"/>
        </w:rPr>
      </w:pPr>
    </w:p>
    <w:p>
      <w:pPr>
        <w:pStyle w:val="5"/>
        <w:spacing w:before="12"/>
        <w:ind w:left="0"/>
        <w:rPr>
          <w:sz w:val="35"/>
        </w:rPr>
      </w:pPr>
    </w:p>
    <w:p>
      <w:pPr>
        <w:spacing w:before="0"/>
        <w:ind w:left="540" w:right="0" w:firstLine="0"/>
        <w:jc w:val="left"/>
        <w:rPr>
          <w:sz w:val="21"/>
        </w:rPr>
      </w:pPr>
      <w:r>
        <w:rPr>
          <w:sz w:val="21"/>
        </w:rPr>
        <w:t>注：法定代表人的签字必须是亲笔签名，不得使用印章、签名章或其他电子制版签名。</w:t>
      </w:r>
    </w:p>
    <w:p>
      <w:pPr>
        <w:spacing w:after="0"/>
        <w:jc w:val="left"/>
        <w:rPr>
          <w:sz w:val="21"/>
        </w:rPr>
        <w:sectPr>
          <w:pgSz w:w="11910" w:h="16840"/>
          <w:pgMar w:top="1380" w:right="720" w:bottom="1080" w:left="820" w:header="746" w:footer="891" w:gutter="0"/>
          <w:cols w:space="720" w:num="1"/>
        </w:sectPr>
      </w:pPr>
    </w:p>
    <w:p>
      <w:pPr>
        <w:pStyle w:val="5"/>
        <w:ind w:left="0"/>
        <w:rPr>
          <w:sz w:val="20"/>
        </w:rPr>
      </w:pPr>
    </w:p>
    <w:p>
      <w:pPr>
        <w:pStyle w:val="5"/>
        <w:spacing w:before="2"/>
        <w:ind w:left="0"/>
        <w:rPr>
          <w:sz w:val="21"/>
        </w:rPr>
      </w:pPr>
    </w:p>
    <w:p>
      <w:pPr>
        <w:pStyle w:val="4"/>
        <w:spacing w:before="66"/>
        <w:ind w:left="262" w:right="360"/>
        <w:jc w:val="center"/>
      </w:pPr>
      <w:r>
        <w:t>三、投标保证金</w:t>
      </w:r>
    </w:p>
    <w:p>
      <w:pPr>
        <w:pStyle w:val="5"/>
        <w:spacing w:before="10"/>
        <w:ind w:left="0"/>
        <w:rPr>
          <w:b/>
          <w:sz w:val="32"/>
        </w:rPr>
      </w:pPr>
    </w:p>
    <w:p>
      <w:pPr>
        <w:pStyle w:val="5"/>
        <w:spacing w:line="364" w:lineRule="auto"/>
        <w:ind w:right="639"/>
      </w:pPr>
      <w:r>
        <w:t>若采用现金或支票，投标人应在此提供汇款凭证的复印件。若采用电子保函，须按商城县公共资源交易网电子保函格式和要求，附开具成功的电子保函复印件。</w:t>
      </w:r>
    </w:p>
    <w:p>
      <w:pPr>
        <w:pStyle w:val="5"/>
        <w:spacing w:line="362" w:lineRule="auto"/>
        <w:ind w:right="639"/>
      </w:pPr>
      <w:r>
        <w:t>1</w:t>
      </w:r>
      <w:r>
        <w:rPr>
          <w:spacing w:val="-8"/>
        </w:rPr>
        <w:t>、通过交易系统打印《保证金缴纳回执单》，加盖单位公章，且由法定代表人或授权委</w:t>
      </w:r>
      <w:r>
        <w:t>托人签字后，扫描上传。</w:t>
      </w:r>
    </w:p>
    <w:p>
      <w:pPr>
        <w:pStyle w:val="5"/>
        <w:spacing w:before="3" w:line="364" w:lineRule="auto"/>
        <w:ind w:right="639"/>
        <w:jc w:val="both"/>
      </w:pPr>
      <w:r>
        <w:t>2</w:t>
      </w:r>
      <w:r>
        <w:rPr>
          <w:spacing w:val="-8"/>
        </w:rPr>
        <w:t>、投标保证金采用电子保函方式缴纳形式，投标人需登录商城县建设工程系统，点击待</w:t>
      </w:r>
      <w:r>
        <w:t>缴纳的保证金待办，或者点击业务管理→费用管理，支付方式选择电子保函，，下单后跳转到电子保函平台，完成缴纳；制作投标文件时须提供保函书及保函合同、担保机构营业执照的扫描件。</w:t>
      </w:r>
    </w:p>
    <w:p>
      <w:pPr>
        <w:pStyle w:val="5"/>
        <w:spacing w:line="305" w:lineRule="exact"/>
      </w:pPr>
      <w:r>
        <w:t>3、投标人如为信誉良好的中小微企业可免于缴纳投标保证金，须提供投标保证金承诺函</w:t>
      </w:r>
    </w:p>
    <w:p>
      <w:pPr>
        <w:pStyle w:val="5"/>
        <w:ind w:left="0"/>
      </w:pPr>
    </w:p>
    <w:p>
      <w:pPr>
        <w:spacing w:before="211"/>
        <w:ind w:left="1066" w:right="0" w:firstLine="0"/>
        <w:jc w:val="left"/>
        <w:rPr>
          <w:rFonts w:hint="eastAsia" w:ascii="等线" w:eastAsia="等线"/>
          <w:sz w:val="21"/>
        </w:rPr>
      </w:pPr>
      <w:r>
        <w:rPr>
          <w:rFonts w:hint="eastAsia" w:ascii="等线" w:eastAsia="等线"/>
          <w:sz w:val="21"/>
        </w:rPr>
        <w:t>附件</w:t>
      </w:r>
    </w:p>
    <w:p>
      <w:pPr>
        <w:pStyle w:val="5"/>
        <w:spacing w:before="2"/>
        <w:ind w:left="0"/>
        <w:rPr>
          <w:rFonts w:ascii="等线"/>
          <w:sz w:val="23"/>
        </w:rPr>
      </w:pPr>
    </w:p>
    <w:p>
      <w:pPr>
        <w:pStyle w:val="4"/>
        <w:ind w:left="1015" w:right="2212"/>
        <w:jc w:val="center"/>
        <w:rPr>
          <w:rFonts w:hint="eastAsia" w:ascii="Microsoft JhengHei" w:eastAsia="Microsoft JhengHei"/>
        </w:rPr>
      </w:pPr>
      <w:r>
        <w:rPr>
          <w:rFonts w:hint="eastAsia" w:ascii="Microsoft JhengHei" w:eastAsia="Microsoft JhengHei"/>
        </w:rPr>
        <w:t>投标保证金承诺函</w:t>
      </w:r>
    </w:p>
    <w:p>
      <w:pPr>
        <w:pStyle w:val="5"/>
        <w:spacing w:before="1"/>
        <w:ind w:left="0"/>
        <w:rPr>
          <w:rFonts w:ascii="Microsoft JhengHei"/>
          <w:b/>
          <w:sz w:val="34"/>
        </w:rPr>
      </w:pPr>
    </w:p>
    <w:p>
      <w:pPr>
        <w:pStyle w:val="3"/>
        <w:spacing w:before="0" w:line="216" w:lineRule="auto"/>
        <w:ind w:left="540" w:right="636" w:firstLine="1154"/>
        <w:jc w:val="both"/>
      </w:pPr>
      <w:r>
        <w:t>我司因参加</w:t>
      </w:r>
      <w:r>
        <w:rPr>
          <w:u w:val="single"/>
        </w:rPr>
        <w:t xml:space="preserve">    项目名称 </w:t>
      </w:r>
      <w:r>
        <w:t>招标活动，特承诺按招标文件要求依法履行投标人义务。如有违反，将依约于</w:t>
      </w:r>
      <w:r>
        <w:rPr>
          <w:u w:val="single"/>
        </w:rPr>
        <w:t xml:space="preserve">     </w:t>
      </w:r>
      <w:r>
        <w:t>年</w:t>
      </w:r>
      <w:r>
        <w:rPr>
          <w:u w:val="single"/>
        </w:rPr>
        <w:t xml:space="preserve">     </w:t>
      </w:r>
      <w:r>
        <w:t>月</w:t>
      </w:r>
      <w:r>
        <w:rPr>
          <w:u w:val="single"/>
        </w:rPr>
        <w:t xml:space="preserve">      </w:t>
      </w:r>
      <w:r>
        <w:t>日前（投标有效期内）全额付清违约投标保证金</w:t>
      </w:r>
      <w:r>
        <w:rPr>
          <w:u w:val="single"/>
        </w:rPr>
        <w:t xml:space="preserve"> </w:t>
      </w:r>
      <w:r>
        <w:t>元。</w:t>
      </w:r>
    </w:p>
    <w:p>
      <w:pPr>
        <w:pStyle w:val="5"/>
        <w:ind w:left="0"/>
        <w:rPr>
          <w:rFonts w:ascii="等线"/>
          <w:sz w:val="32"/>
        </w:rPr>
      </w:pPr>
    </w:p>
    <w:p>
      <w:pPr>
        <w:pStyle w:val="5"/>
        <w:spacing w:before="6"/>
        <w:ind w:left="0"/>
        <w:rPr>
          <w:rFonts w:ascii="等线"/>
          <w:sz w:val="29"/>
        </w:rPr>
      </w:pPr>
    </w:p>
    <w:p>
      <w:pPr>
        <w:pStyle w:val="5"/>
        <w:tabs>
          <w:tab w:val="left" w:pos="7188"/>
          <w:tab w:val="left" w:pos="7543"/>
        </w:tabs>
        <w:spacing w:line="490" w:lineRule="atLeast"/>
        <w:ind w:left="4572" w:right="514" w:firstLine="571"/>
        <w:rPr>
          <w:rFonts w:hint="eastAsia" w:ascii="等线" w:eastAsia="等线"/>
        </w:rPr>
      </w:pPr>
      <w:r>
        <w:rPr>
          <w:rFonts w:hint="eastAsia" w:ascii="等线" w:eastAsia="等线"/>
          <w:w w:val="105"/>
        </w:rPr>
        <w:t>投  标</w:t>
      </w:r>
      <w:r>
        <w:rPr>
          <w:rFonts w:hint="eastAsia" w:ascii="等线" w:eastAsia="等线"/>
          <w:spacing w:val="44"/>
          <w:w w:val="105"/>
        </w:rPr>
        <w:t xml:space="preserve"> </w:t>
      </w:r>
      <w:r>
        <w:rPr>
          <w:rFonts w:hint="eastAsia" w:ascii="等线" w:eastAsia="等线"/>
          <w:w w:val="105"/>
        </w:rPr>
        <w:t>人</w:t>
      </w:r>
      <w:r>
        <w:rPr>
          <w:rFonts w:hint="eastAsia" w:ascii="等线" w:eastAsia="等线"/>
          <w:spacing w:val="56"/>
          <w:w w:val="105"/>
        </w:rPr>
        <w:t xml:space="preserve"> </w:t>
      </w:r>
      <w:r>
        <w:rPr>
          <w:rFonts w:hint="eastAsia" w:ascii="等线" w:eastAsia="等线"/>
          <w:w w:val="105"/>
        </w:rPr>
        <w:t>：</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u w:val="single"/>
        </w:rPr>
        <w:tab/>
      </w:r>
      <w:r>
        <w:rPr>
          <w:rFonts w:hint="eastAsia" w:ascii="等线" w:eastAsia="等线"/>
          <w:w w:val="105"/>
        </w:rPr>
        <w:t>（</w:t>
      </w:r>
      <w:r>
        <w:rPr>
          <w:rFonts w:hint="eastAsia" w:ascii="等线" w:eastAsia="等线"/>
          <w:spacing w:val="54"/>
          <w:w w:val="105"/>
        </w:rPr>
        <w:t xml:space="preserve"> </w:t>
      </w:r>
      <w:r>
        <w:rPr>
          <w:rFonts w:hint="eastAsia" w:ascii="等线" w:eastAsia="等线"/>
          <w:w w:val="105"/>
        </w:rPr>
        <w:t>单位电子签章</w:t>
      </w:r>
      <w:r>
        <w:rPr>
          <w:rFonts w:hint="eastAsia" w:ascii="等线" w:eastAsia="等线"/>
          <w:spacing w:val="56"/>
          <w:w w:val="105"/>
        </w:rPr>
        <w:t xml:space="preserve"> </w:t>
      </w:r>
      <w:r>
        <w:rPr>
          <w:rFonts w:hint="eastAsia" w:ascii="等线" w:eastAsia="等线"/>
          <w:w w:val="105"/>
        </w:rPr>
        <w:t>） 法定代表人签字</w:t>
      </w:r>
      <w:r>
        <w:rPr>
          <w:rFonts w:hint="eastAsia" w:ascii="等线" w:eastAsia="等线"/>
          <w:spacing w:val="-12"/>
          <w:w w:val="105"/>
        </w:rPr>
        <w:t>：</w:t>
      </w:r>
      <w:r>
        <w:rPr>
          <w:rFonts w:hint="eastAsia" w:ascii="等线" w:eastAsia="等线"/>
          <w:spacing w:val="-12"/>
          <w:w w:val="105"/>
          <w:u w:val="single"/>
        </w:rPr>
        <w:t xml:space="preserve"> </w:t>
      </w:r>
      <w:r>
        <w:rPr>
          <w:rFonts w:hint="eastAsia" w:ascii="等线" w:eastAsia="等线"/>
          <w:spacing w:val="-12"/>
          <w:w w:val="105"/>
          <w:u w:val="single"/>
        </w:rPr>
        <w:tab/>
      </w:r>
      <w:r>
        <w:rPr>
          <w:rFonts w:hint="eastAsia" w:ascii="等线" w:eastAsia="等线"/>
        </w:rPr>
        <w:t>（法定代表人电子签名</w:t>
      </w:r>
      <w:r>
        <w:rPr>
          <w:rFonts w:hint="eastAsia" w:ascii="等线" w:eastAsia="等线"/>
          <w:spacing w:val="-17"/>
        </w:rPr>
        <w:t>）</w:t>
      </w:r>
    </w:p>
    <w:p>
      <w:pPr>
        <w:pStyle w:val="5"/>
        <w:tabs>
          <w:tab w:val="left" w:pos="7071"/>
          <w:tab w:val="left" w:pos="8191"/>
        </w:tabs>
        <w:spacing w:line="331" w:lineRule="exact"/>
        <w:ind w:left="5686"/>
        <w:rPr>
          <w:rFonts w:hint="eastAsia" w:ascii="等线" w:eastAsia="等线"/>
        </w:rPr>
      </w:pPr>
      <w:r>
        <w:rPr>
          <w:rFonts w:hint="eastAsia" w:ascii="等线" w:eastAsia="等线"/>
          <w:w w:val="105"/>
        </w:rPr>
        <w:t>日</w:t>
      </w:r>
      <w:r>
        <w:rPr>
          <w:rFonts w:hint="eastAsia" w:ascii="等线" w:eastAsia="等线"/>
          <w:spacing w:val="55"/>
          <w:w w:val="105"/>
        </w:rPr>
        <w:t xml:space="preserve"> </w:t>
      </w:r>
      <w:r>
        <w:rPr>
          <w:rFonts w:hint="eastAsia" w:ascii="等线" w:eastAsia="等线"/>
          <w:w w:val="105"/>
        </w:rPr>
        <w:t>期</w:t>
      </w:r>
      <w:r>
        <w:rPr>
          <w:rFonts w:hint="eastAsia" w:ascii="等线" w:eastAsia="等线"/>
          <w:spacing w:val="56"/>
          <w:w w:val="105"/>
        </w:rPr>
        <w:t xml:space="preserve"> </w:t>
      </w:r>
      <w:r>
        <w:rPr>
          <w:rFonts w:hint="eastAsia" w:ascii="等线" w:eastAsia="等线"/>
          <w:w w:val="105"/>
        </w:rPr>
        <w:t>：</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rPr>
        <w:t>年</w:t>
      </w:r>
      <w:r>
        <w:rPr>
          <w:rFonts w:hint="eastAsia" w:ascii="等线" w:eastAsia="等线"/>
          <w:w w:val="105"/>
          <w:u w:val="single"/>
        </w:rPr>
        <w:t xml:space="preserve">  </w:t>
      </w:r>
      <w:r>
        <w:rPr>
          <w:rFonts w:hint="eastAsia" w:ascii="等线" w:eastAsia="等线"/>
          <w:spacing w:val="44"/>
          <w:w w:val="105"/>
          <w:u w:val="single"/>
        </w:rPr>
        <w:t xml:space="preserve"> </w:t>
      </w:r>
      <w:r>
        <w:rPr>
          <w:rFonts w:hint="eastAsia" w:ascii="等线" w:eastAsia="等线"/>
          <w:w w:val="105"/>
        </w:rPr>
        <w:t>月</w:t>
      </w:r>
      <w:r>
        <w:rPr>
          <w:rFonts w:hint="eastAsia" w:ascii="等线" w:eastAsia="等线"/>
          <w:w w:val="105"/>
          <w:u w:val="single"/>
        </w:rPr>
        <w:t xml:space="preserve"> </w:t>
      </w:r>
      <w:r>
        <w:rPr>
          <w:rFonts w:hint="eastAsia" w:ascii="等线" w:eastAsia="等线"/>
          <w:w w:val="105"/>
          <w:u w:val="single"/>
        </w:rPr>
        <w:tab/>
      </w:r>
      <w:r>
        <w:rPr>
          <w:rFonts w:hint="eastAsia" w:ascii="等线" w:eastAsia="等线"/>
          <w:w w:val="105"/>
        </w:rPr>
        <w:t>日</w:t>
      </w:r>
    </w:p>
    <w:p>
      <w:pPr>
        <w:pStyle w:val="5"/>
        <w:spacing w:before="7"/>
        <w:ind w:left="0"/>
        <w:rPr>
          <w:rFonts w:ascii="等线"/>
          <w:sz w:val="20"/>
        </w:rPr>
      </w:pPr>
    </w:p>
    <w:p>
      <w:pPr>
        <w:pStyle w:val="4"/>
        <w:spacing w:line="364" w:lineRule="auto"/>
        <w:ind w:right="641" w:firstLine="120"/>
        <w:jc w:val="both"/>
      </w:pPr>
      <w:r>
        <w:t>注：采用第三种形式的须提供 1、中小微企业证明，2、信用中国和全国公共资源交易平台网站上均无信用联合惩戒和行政处罚记录。</w:t>
      </w:r>
    </w:p>
    <w:p>
      <w:pPr>
        <w:spacing w:after="0" w:line="364" w:lineRule="auto"/>
        <w:jc w:val="both"/>
        <w:sectPr>
          <w:pgSz w:w="11910" w:h="16840"/>
          <w:pgMar w:top="1380" w:right="720" w:bottom="1080" w:left="820" w:header="746" w:footer="891" w:gutter="0"/>
          <w:cols w:space="720" w:num="1"/>
        </w:sectPr>
      </w:pPr>
    </w:p>
    <w:p>
      <w:pPr>
        <w:pStyle w:val="5"/>
        <w:spacing w:before="11"/>
        <w:ind w:left="0"/>
        <w:rPr>
          <w:b/>
          <w:sz w:val="23"/>
        </w:rPr>
      </w:pPr>
    </w:p>
    <w:p>
      <w:pPr>
        <w:pStyle w:val="4"/>
        <w:spacing w:before="67"/>
        <w:ind w:left="262" w:right="360"/>
        <w:jc w:val="center"/>
      </w:pPr>
      <w:r>
        <w:t>四、施工组织设计</w:t>
      </w:r>
    </w:p>
    <w:p>
      <w:pPr>
        <w:pStyle w:val="5"/>
        <w:spacing w:before="160"/>
      </w:pPr>
      <w:r>
        <w:t>1、投标人应按以下要点编制施工组织设计（文字宜精炼、内容具有针对性）：</w:t>
      </w:r>
    </w:p>
    <w:p>
      <w:pPr>
        <w:pStyle w:val="10"/>
        <w:numPr>
          <w:ilvl w:val="0"/>
          <w:numId w:val="128"/>
        </w:numPr>
        <w:tabs>
          <w:tab w:val="left" w:pos="1142"/>
        </w:tabs>
        <w:spacing w:before="158" w:after="0" w:line="240" w:lineRule="auto"/>
        <w:ind w:left="1141" w:right="0" w:hanging="602"/>
        <w:jc w:val="left"/>
        <w:rPr>
          <w:sz w:val="24"/>
        </w:rPr>
      </w:pPr>
      <w:r>
        <w:rPr>
          <w:sz w:val="24"/>
        </w:rPr>
        <w:t>总体施工组织布置及规划</w:t>
      </w:r>
    </w:p>
    <w:p>
      <w:pPr>
        <w:pStyle w:val="10"/>
        <w:numPr>
          <w:ilvl w:val="0"/>
          <w:numId w:val="128"/>
        </w:numPr>
        <w:tabs>
          <w:tab w:val="left" w:pos="1142"/>
        </w:tabs>
        <w:spacing w:before="159" w:after="0" w:line="364" w:lineRule="auto"/>
        <w:ind w:left="540" w:right="639" w:firstLine="0"/>
        <w:jc w:val="left"/>
        <w:rPr>
          <w:sz w:val="24"/>
        </w:rPr>
      </w:pPr>
      <w:r>
        <w:rPr>
          <w:spacing w:val="-3"/>
          <w:sz w:val="24"/>
        </w:rPr>
        <w:t>主要工程项目的施工方案、方法与技术措施</w:t>
      </w:r>
      <w:r>
        <w:rPr>
          <w:sz w:val="24"/>
        </w:rPr>
        <w:t>（</w:t>
      </w:r>
      <w:r>
        <w:rPr>
          <w:spacing w:val="-4"/>
          <w:sz w:val="24"/>
        </w:rPr>
        <w:t>尤其对重点、关键和难点工程的施工</w:t>
      </w:r>
      <w:r>
        <w:rPr>
          <w:sz w:val="24"/>
        </w:rPr>
        <w:t>方案、方法及措施）</w:t>
      </w:r>
    </w:p>
    <w:p>
      <w:pPr>
        <w:pStyle w:val="10"/>
        <w:numPr>
          <w:ilvl w:val="0"/>
          <w:numId w:val="128"/>
        </w:numPr>
        <w:tabs>
          <w:tab w:val="left" w:pos="1142"/>
        </w:tabs>
        <w:spacing w:before="0" w:after="0" w:line="306" w:lineRule="exact"/>
        <w:ind w:left="1141" w:right="0" w:hanging="602"/>
        <w:jc w:val="left"/>
        <w:rPr>
          <w:sz w:val="24"/>
        </w:rPr>
      </w:pPr>
      <w:r>
        <w:rPr>
          <w:sz w:val="24"/>
        </w:rPr>
        <w:t>工期保证体系及保证措施</w:t>
      </w:r>
    </w:p>
    <w:p>
      <w:pPr>
        <w:pStyle w:val="10"/>
        <w:numPr>
          <w:ilvl w:val="0"/>
          <w:numId w:val="128"/>
        </w:numPr>
        <w:tabs>
          <w:tab w:val="left" w:pos="1142"/>
        </w:tabs>
        <w:spacing w:before="160" w:after="0" w:line="240" w:lineRule="auto"/>
        <w:ind w:left="1141" w:right="0" w:hanging="602"/>
        <w:jc w:val="left"/>
        <w:rPr>
          <w:sz w:val="24"/>
        </w:rPr>
      </w:pPr>
      <w:r>
        <w:rPr>
          <w:sz w:val="24"/>
        </w:rPr>
        <w:t>工程质量管理体系及保证措施</w:t>
      </w:r>
    </w:p>
    <w:p>
      <w:pPr>
        <w:pStyle w:val="10"/>
        <w:numPr>
          <w:ilvl w:val="0"/>
          <w:numId w:val="128"/>
        </w:numPr>
        <w:tabs>
          <w:tab w:val="left" w:pos="1142"/>
        </w:tabs>
        <w:spacing w:before="161" w:after="0" w:line="240" w:lineRule="auto"/>
        <w:ind w:left="1141" w:right="0" w:hanging="602"/>
        <w:jc w:val="left"/>
        <w:rPr>
          <w:sz w:val="24"/>
        </w:rPr>
      </w:pPr>
      <w:r>
        <w:rPr>
          <w:sz w:val="24"/>
        </w:rPr>
        <w:t>安全生产管理体系及保证措施</w:t>
      </w:r>
    </w:p>
    <w:p>
      <w:pPr>
        <w:pStyle w:val="10"/>
        <w:numPr>
          <w:ilvl w:val="0"/>
          <w:numId w:val="128"/>
        </w:numPr>
        <w:tabs>
          <w:tab w:val="left" w:pos="1142"/>
        </w:tabs>
        <w:spacing w:before="158" w:after="0" w:line="240" w:lineRule="auto"/>
        <w:ind w:left="1141" w:right="0" w:hanging="602"/>
        <w:jc w:val="left"/>
        <w:rPr>
          <w:sz w:val="24"/>
        </w:rPr>
      </w:pPr>
      <w:r>
        <w:rPr>
          <w:sz w:val="24"/>
        </w:rPr>
        <w:t>环境保护、水土保持保证体系及保证措施</w:t>
      </w:r>
    </w:p>
    <w:p>
      <w:pPr>
        <w:pStyle w:val="10"/>
        <w:numPr>
          <w:ilvl w:val="0"/>
          <w:numId w:val="128"/>
        </w:numPr>
        <w:tabs>
          <w:tab w:val="left" w:pos="1142"/>
        </w:tabs>
        <w:spacing w:before="160" w:after="0" w:line="240" w:lineRule="auto"/>
        <w:ind w:left="1141" w:right="0" w:hanging="602"/>
        <w:jc w:val="left"/>
        <w:rPr>
          <w:sz w:val="24"/>
        </w:rPr>
      </w:pPr>
      <w:r>
        <w:rPr>
          <w:sz w:val="24"/>
        </w:rPr>
        <w:t>文明施工、文物保护保证体系及保证措施</w:t>
      </w:r>
    </w:p>
    <w:p>
      <w:pPr>
        <w:pStyle w:val="10"/>
        <w:numPr>
          <w:ilvl w:val="0"/>
          <w:numId w:val="128"/>
        </w:numPr>
        <w:tabs>
          <w:tab w:val="left" w:pos="1142"/>
        </w:tabs>
        <w:spacing w:before="158" w:after="0" w:line="240" w:lineRule="auto"/>
        <w:ind w:left="1141" w:right="0" w:hanging="602"/>
        <w:jc w:val="left"/>
        <w:rPr>
          <w:sz w:val="24"/>
        </w:rPr>
      </w:pPr>
      <w:r>
        <w:rPr>
          <w:sz w:val="24"/>
        </w:rPr>
        <w:t>项目风险预测与防范，事故应急预案</w:t>
      </w:r>
    </w:p>
    <w:p>
      <w:pPr>
        <w:pStyle w:val="10"/>
        <w:numPr>
          <w:ilvl w:val="0"/>
          <w:numId w:val="128"/>
        </w:numPr>
        <w:tabs>
          <w:tab w:val="left" w:pos="1142"/>
        </w:tabs>
        <w:spacing w:before="161" w:after="0" w:line="240" w:lineRule="auto"/>
        <w:ind w:left="1141" w:right="0" w:hanging="602"/>
        <w:jc w:val="left"/>
        <w:rPr>
          <w:sz w:val="24"/>
        </w:rPr>
      </w:pPr>
      <w:r>
        <w:rPr>
          <w:sz w:val="24"/>
        </w:rPr>
        <w:t>其他应说明的事项</w:t>
      </w:r>
    </w:p>
    <w:p>
      <w:pPr>
        <w:pStyle w:val="5"/>
        <w:spacing w:before="158" w:line="364" w:lineRule="auto"/>
        <w:ind w:left="1260" w:right="2024" w:hanging="720"/>
      </w:pPr>
      <w:r>
        <w:t>2、施工组织设计除采用文字表述外可附下列图表，图表及格式要求附后。</w:t>
      </w:r>
      <w:bookmarkStart w:id="151" w:name="附表一 施工总体计划表"/>
      <w:bookmarkEnd w:id="151"/>
      <w:r>
        <w:t>附表一 施工总体计划表</w:t>
      </w:r>
    </w:p>
    <w:p>
      <w:pPr>
        <w:pStyle w:val="5"/>
        <w:spacing w:line="364" w:lineRule="auto"/>
        <w:ind w:left="1260" w:right="4904"/>
      </w:pPr>
      <w:bookmarkStart w:id="152" w:name="附表二 分项工程进度率计划（斜率图）"/>
      <w:bookmarkEnd w:id="152"/>
      <w:r>
        <w:t xml:space="preserve">附表二 分项工程进度率计划（斜率图） </w:t>
      </w:r>
      <w:bookmarkStart w:id="153" w:name="附表三 工程管理曲线"/>
      <w:bookmarkEnd w:id="153"/>
      <w:r>
        <w:t>附表三 工程管理曲线</w:t>
      </w:r>
    </w:p>
    <w:p>
      <w:pPr>
        <w:pStyle w:val="5"/>
        <w:spacing w:line="364" w:lineRule="auto"/>
        <w:ind w:left="1260" w:right="6584"/>
      </w:pPr>
      <w:bookmarkStart w:id="154" w:name="附表四 施工总平面图"/>
      <w:bookmarkEnd w:id="154"/>
      <w:r>
        <w:t>附表四 施工总平面图附表五 劳动力计划表附表六 临时占地计划表</w:t>
      </w:r>
    </w:p>
    <w:p>
      <w:pPr>
        <w:spacing w:after="0" w:line="364" w:lineRule="auto"/>
        <w:sectPr>
          <w:pgSz w:w="11910" w:h="16840"/>
          <w:pgMar w:top="1380" w:right="720" w:bottom="1080" w:left="820" w:header="746" w:footer="891" w:gutter="0"/>
          <w:cols w:space="720" w:num="1"/>
        </w:sectPr>
      </w:pPr>
    </w:p>
    <w:p>
      <w:pPr>
        <w:pStyle w:val="5"/>
        <w:spacing w:before="12"/>
        <w:ind w:left="0"/>
        <w:rPr>
          <w:sz w:val="8"/>
        </w:rPr>
      </w:pPr>
    </w:p>
    <w:p>
      <w:pPr>
        <w:pStyle w:val="4"/>
        <w:tabs>
          <w:tab w:val="left" w:pos="962"/>
        </w:tabs>
        <w:spacing w:before="66"/>
        <w:ind w:left="0" w:right="130"/>
        <w:jc w:val="center"/>
      </w:pPr>
      <w:bookmarkStart w:id="155" w:name="附表一  施工总体计划表"/>
      <w:bookmarkEnd w:id="155"/>
      <w:r>
        <w:t>附表一</w:t>
      </w:r>
      <w:r>
        <w:tab/>
      </w:r>
      <w:r>
        <w:t>施工总体计划表</w:t>
      </w:r>
    </w:p>
    <w:p>
      <w:pPr>
        <w:pStyle w:val="5"/>
        <w:spacing w:before="5"/>
        <w:ind w:left="0"/>
        <w:rPr>
          <w:b/>
          <w:sz w:val="12"/>
        </w:rPr>
      </w:pPr>
    </w:p>
    <w:tbl>
      <w:tblPr>
        <w:tblStyle w:val="7"/>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7"/>
        <w:gridCol w:w="422"/>
        <w:gridCol w:w="424"/>
        <w:gridCol w:w="425"/>
        <w:gridCol w:w="424"/>
        <w:gridCol w:w="424"/>
        <w:gridCol w:w="424"/>
        <w:gridCol w:w="422"/>
        <w:gridCol w:w="424"/>
        <w:gridCol w:w="424"/>
        <w:gridCol w:w="424"/>
        <w:gridCol w:w="424"/>
        <w:gridCol w:w="422"/>
        <w:gridCol w:w="424"/>
        <w:gridCol w:w="424"/>
        <w:gridCol w:w="424"/>
        <w:gridCol w:w="424"/>
        <w:gridCol w:w="425"/>
        <w:gridCol w:w="422"/>
        <w:gridCol w:w="424"/>
        <w:gridCol w:w="424"/>
        <w:gridCol w:w="424"/>
        <w:gridCol w:w="424"/>
        <w:gridCol w:w="422"/>
        <w:gridCol w:w="427"/>
        <w:gridCol w:w="355"/>
        <w:gridCol w:w="357"/>
        <w:gridCol w:w="357"/>
        <w:gridCol w:w="357"/>
        <w:gridCol w:w="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17" w:type="dxa"/>
          </w:tcPr>
          <w:p>
            <w:pPr>
              <w:pStyle w:val="11"/>
              <w:tabs>
                <w:tab w:val="left" w:pos="1512"/>
              </w:tabs>
              <w:spacing w:before="92" w:line="247" w:lineRule="exact"/>
              <w:ind w:left="713"/>
              <w:rPr>
                <w:sz w:val="20"/>
              </w:rPr>
            </w:pPr>
            <w:r>
              <w:rPr>
                <w:sz w:val="20"/>
              </w:rPr>
              <w:t>年</w:t>
            </w:r>
            <w:r>
              <w:rPr>
                <w:sz w:val="20"/>
              </w:rPr>
              <w:tab/>
            </w:r>
            <w:r>
              <w:rPr>
                <w:sz w:val="20"/>
              </w:rPr>
              <w:t>度</w:t>
            </w:r>
          </w:p>
        </w:tc>
        <w:tc>
          <w:tcPr>
            <w:tcW w:w="5083" w:type="dxa"/>
            <w:gridSpan w:val="12"/>
          </w:tcPr>
          <w:p>
            <w:pPr>
              <w:pStyle w:val="11"/>
              <w:tabs>
                <w:tab w:val="left" w:pos="527"/>
              </w:tabs>
              <w:spacing w:before="92" w:line="247" w:lineRule="exact"/>
              <w:ind w:left="25"/>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5088" w:type="dxa"/>
            <w:gridSpan w:val="12"/>
          </w:tcPr>
          <w:p>
            <w:pPr>
              <w:pStyle w:val="11"/>
              <w:tabs>
                <w:tab w:val="left" w:pos="546"/>
              </w:tabs>
              <w:spacing w:before="92" w:line="247" w:lineRule="exact"/>
              <w:ind w:left="44"/>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1781" w:type="dxa"/>
            <w:gridSpan w:val="5"/>
          </w:tcPr>
          <w:p>
            <w:pPr>
              <w:pStyle w:val="11"/>
              <w:tabs>
                <w:tab w:val="left" w:pos="1063"/>
              </w:tabs>
              <w:spacing w:before="92" w:line="247" w:lineRule="exact"/>
              <w:ind w:left="561"/>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2417" w:type="dxa"/>
          </w:tcPr>
          <w:p>
            <w:pPr>
              <w:pStyle w:val="11"/>
              <w:tabs>
                <w:tab w:val="left" w:pos="1860"/>
              </w:tabs>
              <w:spacing w:before="90" w:line="249" w:lineRule="exact"/>
              <w:ind w:left="55"/>
              <w:rPr>
                <w:sz w:val="20"/>
              </w:rPr>
            </w:pPr>
            <w:r>
              <w:rPr>
                <w:sz w:val="20"/>
              </w:rPr>
              <w:t>主要工程项目</w:t>
            </w:r>
            <w:r>
              <w:rPr>
                <w:sz w:val="20"/>
              </w:rPr>
              <w:tab/>
            </w:r>
            <w:r>
              <w:rPr>
                <w:sz w:val="20"/>
              </w:rPr>
              <w:t>月份</w:t>
            </w:r>
          </w:p>
        </w:tc>
        <w:tc>
          <w:tcPr>
            <w:tcW w:w="422" w:type="dxa"/>
          </w:tcPr>
          <w:p>
            <w:pPr>
              <w:pStyle w:val="11"/>
              <w:spacing w:before="110" w:line="228" w:lineRule="exact"/>
              <w:ind w:left="15"/>
              <w:jc w:val="center"/>
              <w:rPr>
                <w:rFonts w:ascii="Times New Roman"/>
                <w:sz w:val="20"/>
              </w:rPr>
            </w:pPr>
            <w:r>
              <w:rPr>
                <w:rFonts w:ascii="Times New Roman"/>
                <w:w w:val="95"/>
                <w:sz w:val="20"/>
              </w:rPr>
              <w:t>1</w:t>
            </w:r>
          </w:p>
        </w:tc>
        <w:tc>
          <w:tcPr>
            <w:tcW w:w="424" w:type="dxa"/>
          </w:tcPr>
          <w:p>
            <w:pPr>
              <w:pStyle w:val="11"/>
              <w:spacing w:before="110" w:line="228" w:lineRule="exact"/>
              <w:ind w:left="14"/>
              <w:jc w:val="center"/>
              <w:rPr>
                <w:rFonts w:ascii="Times New Roman"/>
                <w:sz w:val="20"/>
              </w:rPr>
            </w:pPr>
            <w:r>
              <w:rPr>
                <w:rFonts w:ascii="Times New Roman"/>
                <w:w w:val="95"/>
                <w:sz w:val="20"/>
              </w:rPr>
              <w:t>2</w:t>
            </w:r>
          </w:p>
        </w:tc>
        <w:tc>
          <w:tcPr>
            <w:tcW w:w="425" w:type="dxa"/>
          </w:tcPr>
          <w:p>
            <w:pPr>
              <w:pStyle w:val="11"/>
              <w:spacing w:before="110" w:line="228" w:lineRule="exact"/>
              <w:ind w:left="15"/>
              <w:jc w:val="center"/>
              <w:rPr>
                <w:rFonts w:ascii="Times New Roman"/>
                <w:sz w:val="20"/>
              </w:rPr>
            </w:pPr>
            <w:r>
              <w:rPr>
                <w:rFonts w:ascii="Times New Roman"/>
                <w:w w:val="95"/>
                <w:sz w:val="20"/>
              </w:rPr>
              <w:t>3</w:t>
            </w:r>
          </w:p>
        </w:tc>
        <w:tc>
          <w:tcPr>
            <w:tcW w:w="424" w:type="dxa"/>
          </w:tcPr>
          <w:p>
            <w:pPr>
              <w:pStyle w:val="11"/>
              <w:spacing w:before="110" w:line="228" w:lineRule="exact"/>
              <w:ind w:left="15"/>
              <w:jc w:val="center"/>
              <w:rPr>
                <w:rFonts w:ascii="Times New Roman"/>
                <w:sz w:val="20"/>
              </w:rPr>
            </w:pPr>
            <w:r>
              <w:rPr>
                <w:rFonts w:ascii="Times New Roman"/>
                <w:w w:val="95"/>
                <w:sz w:val="20"/>
              </w:rPr>
              <w:t>4</w:t>
            </w:r>
          </w:p>
        </w:tc>
        <w:tc>
          <w:tcPr>
            <w:tcW w:w="424" w:type="dxa"/>
          </w:tcPr>
          <w:p>
            <w:pPr>
              <w:pStyle w:val="11"/>
              <w:spacing w:before="110" w:line="228" w:lineRule="exact"/>
              <w:ind w:left="17"/>
              <w:jc w:val="center"/>
              <w:rPr>
                <w:rFonts w:ascii="Times New Roman"/>
                <w:sz w:val="20"/>
              </w:rPr>
            </w:pPr>
            <w:r>
              <w:rPr>
                <w:rFonts w:ascii="Times New Roman"/>
                <w:w w:val="95"/>
                <w:sz w:val="20"/>
              </w:rPr>
              <w:t>5</w:t>
            </w:r>
          </w:p>
        </w:tc>
        <w:tc>
          <w:tcPr>
            <w:tcW w:w="424" w:type="dxa"/>
          </w:tcPr>
          <w:p>
            <w:pPr>
              <w:pStyle w:val="11"/>
              <w:spacing w:before="110" w:line="228" w:lineRule="exact"/>
              <w:ind w:left="19"/>
              <w:jc w:val="center"/>
              <w:rPr>
                <w:rFonts w:ascii="Times New Roman"/>
                <w:sz w:val="20"/>
              </w:rPr>
            </w:pPr>
            <w:r>
              <w:rPr>
                <w:rFonts w:ascii="Times New Roman"/>
                <w:w w:val="95"/>
                <w:sz w:val="20"/>
              </w:rPr>
              <w:t>6</w:t>
            </w:r>
          </w:p>
        </w:tc>
        <w:tc>
          <w:tcPr>
            <w:tcW w:w="422" w:type="dxa"/>
          </w:tcPr>
          <w:p>
            <w:pPr>
              <w:pStyle w:val="11"/>
              <w:spacing w:before="110" w:line="228" w:lineRule="exact"/>
              <w:ind w:left="22"/>
              <w:jc w:val="center"/>
              <w:rPr>
                <w:rFonts w:ascii="Times New Roman"/>
                <w:sz w:val="20"/>
              </w:rPr>
            </w:pPr>
            <w:r>
              <w:rPr>
                <w:rFonts w:ascii="Times New Roman"/>
                <w:w w:val="95"/>
                <w:sz w:val="20"/>
              </w:rPr>
              <w:t>7</w:t>
            </w:r>
          </w:p>
        </w:tc>
        <w:tc>
          <w:tcPr>
            <w:tcW w:w="424" w:type="dxa"/>
          </w:tcPr>
          <w:p>
            <w:pPr>
              <w:pStyle w:val="11"/>
              <w:spacing w:before="110" w:line="228" w:lineRule="exact"/>
              <w:ind w:left="21"/>
              <w:jc w:val="center"/>
              <w:rPr>
                <w:rFonts w:ascii="Times New Roman"/>
                <w:sz w:val="20"/>
              </w:rPr>
            </w:pPr>
            <w:r>
              <w:rPr>
                <w:rFonts w:ascii="Times New Roman"/>
                <w:w w:val="95"/>
                <w:sz w:val="20"/>
              </w:rPr>
              <w:t>8</w:t>
            </w:r>
          </w:p>
        </w:tc>
        <w:tc>
          <w:tcPr>
            <w:tcW w:w="424" w:type="dxa"/>
          </w:tcPr>
          <w:p>
            <w:pPr>
              <w:pStyle w:val="11"/>
              <w:spacing w:before="110" w:line="228" w:lineRule="exact"/>
              <w:ind w:left="23"/>
              <w:jc w:val="center"/>
              <w:rPr>
                <w:rFonts w:ascii="Times New Roman"/>
                <w:sz w:val="20"/>
              </w:rPr>
            </w:pPr>
            <w:r>
              <w:rPr>
                <w:rFonts w:ascii="Times New Roman"/>
                <w:w w:val="95"/>
                <w:sz w:val="20"/>
              </w:rPr>
              <w:t>9</w:t>
            </w:r>
          </w:p>
        </w:tc>
        <w:tc>
          <w:tcPr>
            <w:tcW w:w="424" w:type="dxa"/>
          </w:tcPr>
          <w:p>
            <w:pPr>
              <w:pStyle w:val="11"/>
              <w:spacing w:before="110" w:line="228" w:lineRule="exact"/>
              <w:ind w:left="121"/>
              <w:rPr>
                <w:rFonts w:ascii="Times New Roman"/>
                <w:sz w:val="20"/>
              </w:rPr>
            </w:pPr>
            <w:r>
              <w:rPr>
                <w:rFonts w:ascii="Times New Roman"/>
                <w:sz w:val="20"/>
              </w:rPr>
              <w:t>10</w:t>
            </w:r>
          </w:p>
        </w:tc>
        <w:tc>
          <w:tcPr>
            <w:tcW w:w="424" w:type="dxa"/>
          </w:tcPr>
          <w:p>
            <w:pPr>
              <w:pStyle w:val="11"/>
              <w:spacing w:before="110" w:line="228" w:lineRule="exact"/>
              <w:ind w:left="126"/>
              <w:rPr>
                <w:rFonts w:ascii="Times New Roman"/>
                <w:sz w:val="20"/>
              </w:rPr>
            </w:pPr>
            <w:r>
              <w:rPr>
                <w:rFonts w:ascii="Times New Roman"/>
                <w:sz w:val="20"/>
              </w:rPr>
              <w:t>11</w:t>
            </w:r>
          </w:p>
        </w:tc>
        <w:tc>
          <w:tcPr>
            <w:tcW w:w="422" w:type="dxa"/>
          </w:tcPr>
          <w:p>
            <w:pPr>
              <w:pStyle w:val="11"/>
              <w:spacing w:before="110" w:line="228" w:lineRule="exact"/>
              <w:ind w:left="122"/>
              <w:rPr>
                <w:rFonts w:ascii="Times New Roman"/>
                <w:sz w:val="20"/>
              </w:rPr>
            </w:pPr>
            <w:r>
              <w:rPr>
                <w:rFonts w:ascii="Times New Roman"/>
                <w:sz w:val="20"/>
              </w:rPr>
              <w:t>12</w:t>
            </w:r>
          </w:p>
        </w:tc>
        <w:tc>
          <w:tcPr>
            <w:tcW w:w="424" w:type="dxa"/>
          </w:tcPr>
          <w:p>
            <w:pPr>
              <w:pStyle w:val="11"/>
              <w:spacing w:before="110" w:line="228" w:lineRule="exact"/>
              <w:ind w:left="33"/>
              <w:jc w:val="center"/>
              <w:rPr>
                <w:rFonts w:ascii="Times New Roman"/>
                <w:sz w:val="20"/>
              </w:rPr>
            </w:pPr>
            <w:r>
              <w:rPr>
                <w:rFonts w:ascii="Times New Roman"/>
                <w:w w:val="95"/>
                <w:sz w:val="20"/>
              </w:rPr>
              <w:t>1</w:t>
            </w:r>
          </w:p>
        </w:tc>
        <w:tc>
          <w:tcPr>
            <w:tcW w:w="424" w:type="dxa"/>
          </w:tcPr>
          <w:p>
            <w:pPr>
              <w:pStyle w:val="11"/>
              <w:spacing w:before="110" w:line="228" w:lineRule="exact"/>
              <w:ind w:left="30"/>
              <w:jc w:val="center"/>
              <w:rPr>
                <w:rFonts w:ascii="Times New Roman"/>
                <w:sz w:val="20"/>
              </w:rPr>
            </w:pPr>
            <w:r>
              <w:rPr>
                <w:rFonts w:ascii="Times New Roman"/>
                <w:w w:val="95"/>
                <w:sz w:val="20"/>
              </w:rPr>
              <w:t>2</w:t>
            </w:r>
          </w:p>
        </w:tc>
        <w:tc>
          <w:tcPr>
            <w:tcW w:w="424" w:type="dxa"/>
          </w:tcPr>
          <w:p>
            <w:pPr>
              <w:pStyle w:val="11"/>
              <w:spacing w:before="110" w:line="228" w:lineRule="exact"/>
              <w:ind w:left="31"/>
              <w:jc w:val="center"/>
              <w:rPr>
                <w:rFonts w:ascii="Times New Roman"/>
                <w:sz w:val="20"/>
              </w:rPr>
            </w:pPr>
            <w:r>
              <w:rPr>
                <w:rFonts w:ascii="Times New Roman"/>
                <w:w w:val="95"/>
                <w:sz w:val="20"/>
              </w:rPr>
              <w:t>3</w:t>
            </w:r>
          </w:p>
        </w:tc>
        <w:tc>
          <w:tcPr>
            <w:tcW w:w="424" w:type="dxa"/>
          </w:tcPr>
          <w:p>
            <w:pPr>
              <w:pStyle w:val="11"/>
              <w:spacing w:before="110" w:line="228" w:lineRule="exact"/>
              <w:ind w:left="33"/>
              <w:jc w:val="center"/>
              <w:rPr>
                <w:rFonts w:ascii="Times New Roman"/>
                <w:sz w:val="20"/>
              </w:rPr>
            </w:pPr>
            <w:r>
              <w:rPr>
                <w:rFonts w:ascii="Times New Roman"/>
                <w:w w:val="95"/>
                <w:sz w:val="20"/>
              </w:rPr>
              <w:t>4</w:t>
            </w:r>
          </w:p>
        </w:tc>
        <w:tc>
          <w:tcPr>
            <w:tcW w:w="425" w:type="dxa"/>
          </w:tcPr>
          <w:p>
            <w:pPr>
              <w:pStyle w:val="11"/>
              <w:spacing w:before="110" w:line="228" w:lineRule="exact"/>
              <w:ind w:left="34"/>
              <w:jc w:val="center"/>
              <w:rPr>
                <w:rFonts w:ascii="Times New Roman"/>
                <w:sz w:val="20"/>
              </w:rPr>
            </w:pPr>
            <w:r>
              <w:rPr>
                <w:rFonts w:ascii="Times New Roman"/>
                <w:w w:val="95"/>
                <w:sz w:val="20"/>
              </w:rPr>
              <w:t>5</w:t>
            </w:r>
          </w:p>
        </w:tc>
        <w:tc>
          <w:tcPr>
            <w:tcW w:w="422" w:type="dxa"/>
          </w:tcPr>
          <w:p>
            <w:pPr>
              <w:pStyle w:val="11"/>
              <w:spacing w:before="110" w:line="228" w:lineRule="exact"/>
              <w:ind w:left="36"/>
              <w:jc w:val="center"/>
              <w:rPr>
                <w:rFonts w:ascii="Times New Roman"/>
                <w:sz w:val="20"/>
              </w:rPr>
            </w:pPr>
            <w:r>
              <w:rPr>
                <w:rFonts w:ascii="Times New Roman"/>
                <w:w w:val="95"/>
                <w:sz w:val="20"/>
              </w:rPr>
              <w:t>6</w:t>
            </w:r>
          </w:p>
        </w:tc>
        <w:tc>
          <w:tcPr>
            <w:tcW w:w="424" w:type="dxa"/>
          </w:tcPr>
          <w:p>
            <w:pPr>
              <w:pStyle w:val="11"/>
              <w:spacing w:before="110" w:line="228" w:lineRule="exact"/>
              <w:ind w:left="35"/>
              <w:jc w:val="center"/>
              <w:rPr>
                <w:rFonts w:ascii="Times New Roman"/>
                <w:sz w:val="20"/>
              </w:rPr>
            </w:pPr>
            <w:r>
              <w:rPr>
                <w:rFonts w:ascii="Times New Roman"/>
                <w:w w:val="95"/>
                <w:sz w:val="20"/>
              </w:rPr>
              <w:t>7</w:t>
            </w:r>
          </w:p>
        </w:tc>
        <w:tc>
          <w:tcPr>
            <w:tcW w:w="424" w:type="dxa"/>
          </w:tcPr>
          <w:p>
            <w:pPr>
              <w:pStyle w:val="11"/>
              <w:spacing w:before="110" w:line="228" w:lineRule="exact"/>
              <w:ind w:left="37"/>
              <w:jc w:val="center"/>
              <w:rPr>
                <w:rFonts w:ascii="Times New Roman"/>
                <w:sz w:val="20"/>
              </w:rPr>
            </w:pPr>
            <w:r>
              <w:rPr>
                <w:rFonts w:ascii="Times New Roman"/>
                <w:w w:val="95"/>
                <w:sz w:val="20"/>
              </w:rPr>
              <w:t>8</w:t>
            </w:r>
          </w:p>
        </w:tc>
        <w:tc>
          <w:tcPr>
            <w:tcW w:w="424" w:type="dxa"/>
          </w:tcPr>
          <w:p>
            <w:pPr>
              <w:pStyle w:val="11"/>
              <w:spacing w:before="110" w:line="228" w:lineRule="exact"/>
              <w:ind w:left="38"/>
              <w:jc w:val="center"/>
              <w:rPr>
                <w:rFonts w:ascii="Times New Roman"/>
                <w:sz w:val="20"/>
              </w:rPr>
            </w:pPr>
            <w:r>
              <w:rPr>
                <w:rFonts w:ascii="Times New Roman"/>
                <w:w w:val="95"/>
                <w:sz w:val="20"/>
              </w:rPr>
              <w:t>9</w:t>
            </w:r>
          </w:p>
        </w:tc>
        <w:tc>
          <w:tcPr>
            <w:tcW w:w="424" w:type="dxa"/>
          </w:tcPr>
          <w:p>
            <w:pPr>
              <w:pStyle w:val="11"/>
              <w:spacing w:before="110" w:line="228" w:lineRule="exact"/>
              <w:ind w:left="131"/>
              <w:rPr>
                <w:rFonts w:ascii="Times New Roman"/>
                <w:sz w:val="20"/>
              </w:rPr>
            </w:pPr>
            <w:r>
              <w:rPr>
                <w:rFonts w:ascii="Times New Roman"/>
                <w:sz w:val="20"/>
              </w:rPr>
              <w:t>10</w:t>
            </w:r>
          </w:p>
        </w:tc>
        <w:tc>
          <w:tcPr>
            <w:tcW w:w="422" w:type="dxa"/>
          </w:tcPr>
          <w:p>
            <w:pPr>
              <w:pStyle w:val="11"/>
              <w:spacing w:before="110" w:line="228" w:lineRule="exact"/>
              <w:ind w:left="134"/>
              <w:rPr>
                <w:rFonts w:ascii="Times New Roman"/>
                <w:sz w:val="20"/>
              </w:rPr>
            </w:pPr>
            <w:r>
              <w:rPr>
                <w:rFonts w:ascii="Times New Roman"/>
                <w:sz w:val="20"/>
              </w:rPr>
              <w:t>11</w:t>
            </w:r>
          </w:p>
        </w:tc>
        <w:tc>
          <w:tcPr>
            <w:tcW w:w="427" w:type="dxa"/>
          </w:tcPr>
          <w:p>
            <w:pPr>
              <w:pStyle w:val="11"/>
              <w:spacing w:before="110" w:line="228" w:lineRule="exact"/>
              <w:ind w:left="134"/>
              <w:rPr>
                <w:rFonts w:ascii="Times New Roman"/>
                <w:sz w:val="20"/>
              </w:rPr>
            </w:pPr>
            <w:r>
              <w:rPr>
                <w:rFonts w:ascii="Times New Roman"/>
                <w:sz w:val="20"/>
              </w:rPr>
              <w:t>12</w:t>
            </w:r>
          </w:p>
        </w:tc>
        <w:tc>
          <w:tcPr>
            <w:tcW w:w="355" w:type="dxa"/>
          </w:tcPr>
          <w:p>
            <w:pPr>
              <w:pStyle w:val="11"/>
              <w:spacing w:before="110" w:line="228" w:lineRule="exact"/>
              <w:ind w:left="147"/>
              <w:rPr>
                <w:rFonts w:ascii="Times New Roman"/>
                <w:sz w:val="20"/>
              </w:rPr>
            </w:pPr>
            <w:r>
              <w:rPr>
                <w:rFonts w:ascii="Times New Roman"/>
                <w:w w:val="95"/>
                <w:sz w:val="20"/>
              </w:rPr>
              <w:t>1</w:t>
            </w:r>
          </w:p>
        </w:tc>
        <w:tc>
          <w:tcPr>
            <w:tcW w:w="357" w:type="dxa"/>
          </w:tcPr>
          <w:p>
            <w:pPr>
              <w:pStyle w:val="11"/>
              <w:spacing w:before="110" w:line="228" w:lineRule="exact"/>
              <w:ind w:left="147"/>
              <w:rPr>
                <w:rFonts w:ascii="Times New Roman"/>
                <w:sz w:val="20"/>
              </w:rPr>
            </w:pPr>
            <w:r>
              <w:rPr>
                <w:rFonts w:ascii="Times New Roman"/>
                <w:w w:val="95"/>
                <w:sz w:val="20"/>
              </w:rPr>
              <w:t>2</w:t>
            </w:r>
          </w:p>
        </w:tc>
        <w:tc>
          <w:tcPr>
            <w:tcW w:w="357" w:type="dxa"/>
          </w:tcPr>
          <w:p>
            <w:pPr>
              <w:pStyle w:val="11"/>
              <w:spacing w:before="110" w:line="228" w:lineRule="exact"/>
              <w:ind w:left="147"/>
              <w:rPr>
                <w:rFonts w:ascii="Times New Roman"/>
                <w:sz w:val="20"/>
              </w:rPr>
            </w:pPr>
            <w:r>
              <w:rPr>
                <w:rFonts w:ascii="Times New Roman"/>
                <w:w w:val="95"/>
                <w:sz w:val="20"/>
              </w:rPr>
              <w:t>3</w:t>
            </w:r>
          </w:p>
        </w:tc>
        <w:tc>
          <w:tcPr>
            <w:tcW w:w="357" w:type="dxa"/>
          </w:tcPr>
          <w:p>
            <w:pPr>
              <w:pStyle w:val="11"/>
              <w:spacing w:before="110" w:line="228" w:lineRule="exact"/>
              <w:ind w:left="148"/>
              <w:rPr>
                <w:rFonts w:ascii="Times New Roman"/>
                <w:sz w:val="20"/>
              </w:rPr>
            </w:pPr>
            <w:r>
              <w:rPr>
                <w:rFonts w:ascii="Times New Roman"/>
                <w:w w:val="95"/>
                <w:sz w:val="20"/>
              </w:rPr>
              <w:t>4</w:t>
            </w:r>
          </w:p>
        </w:tc>
        <w:tc>
          <w:tcPr>
            <w:tcW w:w="355" w:type="dxa"/>
          </w:tcPr>
          <w:p>
            <w:pPr>
              <w:pStyle w:val="11"/>
              <w:spacing w:before="97" w:line="242" w:lineRule="exact"/>
              <w:ind w:left="101"/>
              <w:rPr>
                <w:sz w:val="20"/>
              </w:rPr>
            </w:pPr>
            <w:r>
              <w:rPr>
                <w:w w:val="97"/>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9" w:line="241" w:lineRule="exact"/>
              <w:ind w:left="55"/>
              <w:rPr>
                <w:sz w:val="20"/>
              </w:rPr>
            </w:pPr>
            <w:r>
              <w:rPr>
                <w:rFonts w:ascii="Times New Roman" w:eastAsia="Times New Roman"/>
                <w:sz w:val="20"/>
              </w:rPr>
              <w:t>1.</w:t>
            </w:r>
            <w:r>
              <w:rPr>
                <w:sz w:val="20"/>
              </w:rPr>
              <w:t>施工准备</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417" w:type="dxa"/>
          </w:tcPr>
          <w:p>
            <w:pPr>
              <w:pStyle w:val="11"/>
              <w:spacing w:before="70" w:line="241" w:lineRule="exact"/>
              <w:ind w:left="55"/>
              <w:rPr>
                <w:sz w:val="20"/>
              </w:rPr>
            </w:pPr>
            <w:r>
              <w:rPr>
                <w:rFonts w:ascii="Times New Roman" w:eastAsia="Times New Roman"/>
                <w:sz w:val="20"/>
              </w:rPr>
              <w:t>2.</w:t>
            </w:r>
            <w:r>
              <w:rPr>
                <w:sz w:val="20"/>
              </w:rPr>
              <w:t>路基施工</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spacing w:before="65" w:line="243" w:lineRule="exact"/>
              <w:ind w:left="55"/>
              <w:rPr>
                <w:sz w:val="20"/>
              </w:rPr>
            </w:pPr>
            <w:r>
              <w:rPr>
                <w:rFonts w:ascii="Times New Roman" w:eastAsia="Times New Roman"/>
                <w:sz w:val="20"/>
              </w:rPr>
              <w:t>3.</w:t>
            </w:r>
            <w:r>
              <w:rPr>
                <w:sz w:val="20"/>
              </w:rPr>
              <w:t>路面基层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70" w:line="240" w:lineRule="exact"/>
              <w:ind w:left="322"/>
              <w:rPr>
                <w:sz w:val="20"/>
              </w:rPr>
            </w:pPr>
            <w:r>
              <w:rPr>
                <w:sz w:val="20"/>
              </w:rPr>
              <w:t>（</w:t>
            </w:r>
            <w:r>
              <w:rPr>
                <w:rFonts w:ascii="Times New Roman" w:eastAsia="Times New Roman"/>
                <w:sz w:val="20"/>
              </w:rPr>
              <w:t>1</w:t>
            </w:r>
            <w:r>
              <w:rPr>
                <w:sz w:val="20"/>
              </w:rPr>
              <w:t>）底基层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6" w:line="244" w:lineRule="exact"/>
              <w:ind w:left="322"/>
              <w:rPr>
                <w:sz w:val="20"/>
              </w:rPr>
            </w:pPr>
            <w:r>
              <w:rPr>
                <w:sz w:val="20"/>
              </w:rPr>
              <w:t>（</w:t>
            </w:r>
            <w:r>
              <w:rPr>
                <w:rFonts w:ascii="Times New Roman" w:eastAsia="Times New Roman"/>
                <w:sz w:val="20"/>
              </w:rPr>
              <w:t>2</w:t>
            </w:r>
            <w:r>
              <w:rPr>
                <w:sz w:val="20"/>
              </w:rPr>
              <w:t>）基层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spacing w:before="69" w:line="239" w:lineRule="exact"/>
              <w:ind w:left="55"/>
              <w:rPr>
                <w:sz w:val="20"/>
              </w:rPr>
            </w:pPr>
            <w:r>
              <w:rPr>
                <w:rFonts w:ascii="Times New Roman" w:eastAsia="Times New Roman"/>
                <w:sz w:val="20"/>
              </w:rPr>
              <w:t>4.</w:t>
            </w:r>
            <w:r>
              <w:rPr>
                <w:sz w:val="20"/>
              </w:rPr>
              <w:t>路面面层</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9" w:line="240" w:lineRule="exact"/>
              <w:ind w:left="55"/>
              <w:rPr>
                <w:sz w:val="20"/>
              </w:rPr>
            </w:pPr>
            <w:r>
              <w:rPr>
                <w:rFonts w:ascii="Times New Roman" w:eastAsia="Times New Roman"/>
                <w:sz w:val="20"/>
              </w:rPr>
              <w:t>5.</w:t>
            </w:r>
            <w:r>
              <w:rPr>
                <w:sz w:val="20"/>
              </w:rPr>
              <w:t>标识标牌制作</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spacing w:before="65" w:line="244" w:lineRule="exact"/>
              <w:ind w:left="55"/>
              <w:rPr>
                <w:sz w:val="20"/>
              </w:rPr>
            </w:pPr>
            <w:r>
              <w:rPr>
                <w:rFonts w:ascii="Times New Roman" w:eastAsia="Times New Roman"/>
                <w:sz w:val="20"/>
              </w:rPr>
              <w:t>6.</w:t>
            </w:r>
            <w:r>
              <w:rPr>
                <w:sz w:val="20"/>
              </w:rPr>
              <w:t>安装施工</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417" w:type="dxa"/>
          </w:tcPr>
          <w:p>
            <w:pPr>
              <w:pStyle w:val="11"/>
              <w:tabs>
                <w:tab w:val="left" w:pos="807"/>
              </w:tabs>
              <w:spacing w:before="66" w:line="241" w:lineRule="exact"/>
              <w:ind w:left="55"/>
              <w:rPr>
                <w:sz w:val="20"/>
              </w:rPr>
            </w:pPr>
            <w:r>
              <w:rPr>
                <w:rFonts w:ascii="Times New Roman" w:eastAsia="Times New Roman"/>
                <w:sz w:val="20"/>
              </w:rPr>
              <w:t>7.</w:t>
            </w:r>
            <w:r>
              <w:rPr>
                <w:sz w:val="20"/>
              </w:rPr>
              <w:t>其</w:t>
            </w:r>
            <w:r>
              <w:rPr>
                <w:sz w:val="20"/>
              </w:rPr>
              <w:tab/>
            </w:r>
            <w:r>
              <w:rPr>
                <w:sz w:val="20"/>
              </w:rPr>
              <w:t>他</w:t>
            </w: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2417"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5" w:type="dxa"/>
          </w:tcPr>
          <w:p>
            <w:pPr>
              <w:pStyle w:val="11"/>
              <w:rPr>
                <w:rFonts w:ascii="Times New Roman"/>
                <w:sz w:val="18"/>
              </w:rPr>
            </w:pPr>
          </w:p>
        </w:tc>
        <w:tc>
          <w:tcPr>
            <w:tcW w:w="422"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4" w:type="dxa"/>
          </w:tcPr>
          <w:p>
            <w:pPr>
              <w:pStyle w:val="11"/>
              <w:rPr>
                <w:rFonts w:ascii="Times New Roman"/>
                <w:sz w:val="18"/>
              </w:rPr>
            </w:pPr>
          </w:p>
        </w:tc>
        <w:tc>
          <w:tcPr>
            <w:tcW w:w="422" w:type="dxa"/>
          </w:tcPr>
          <w:p>
            <w:pPr>
              <w:pStyle w:val="11"/>
              <w:rPr>
                <w:rFonts w:ascii="Times New Roman"/>
                <w:sz w:val="18"/>
              </w:rPr>
            </w:pPr>
          </w:p>
        </w:tc>
        <w:tc>
          <w:tcPr>
            <w:tcW w:w="427" w:type="dxa"/>
          </w:tcPr>
          <w:p>
            <w:pPr>
              <w:pStyle w:val="11"/>
              <w:rPr>
                <w:rFonts w:ascii="Times New Roman"/>
                <w:sz w:val="18"/>
              </w:rPr>
            </w:pPr>
          </w:p>
        </w:tc>
        <w:tc>
          <w:tcPr>
            <w:tcW w:w="355"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7" w:type="dxa"/>
          </w:tcPr>
          <w:p>
            <w:pPr>
              <w:pStyle w:val="11"/>
              <w:rPr>
                <w:rFonts w:ascii="Times New Roman"/>
                <w:sz w:val="18"/>
              </w:rPr>
            </w:pPr>
          </w:p>
        </w:tc>
        <w:tc>
          <w:tcPr>
            <w:tcW w:w="355" w:type="dxa"/>
          </w:tcPr>
          <w:p>
            <w:pPr>
              <w:pStyle w:val="11"/>
              <w:rPr>
                <w:rFonts w:ascii="Times New Roman"/>
                <w:sz w:val="18"/>
              </w:rPr>
            </w:pPr>
          </w:p>
        </w:tc>
      </w:tr>
    </w:tbl>
    <w:p>
      <w:pPr>
        <w:spacing w:after="0"/>
        <w:rPr>
          <w:rFonts w:ascii="Times New Roman"/>
          <w:sz w:val="18"/>
        </w:rPr>
        <w:sectPr>
          <w:headerReference r:id="rId18" w:type="default"/>
          <w:footerReference r:id="rId19" w:type="default"/>
          <w:pgSz w:w="16840" w:h="11910" w:orient="landscape"/>
          <w:pgMar w:top="1180" w:right="780" w:bottom="1080" w:left="1120" w:header="746" w:footer="892" w:gutter="0"/>
          <w:pgNumType w:start="105"/>
          <w:cols w:space="720" w:num="1"/>
        </w:sectPr>
      </w:pPr>
    </w:p>
    <w:p>
      <w:pPr>
        <w:pStyle w:val="5"/>
        <w:ind w:left="0"/>
        <w:rPr>
          <w:b/>
          <w:sz w:val="20"/>
        </w:rPr>
      </w:pPr>
    </w:p>
    <w:p>
      <w:pPr>
        <w:pStyle w:val="5"/>
        <w:ind w:left="0"/>
        <w:rPr>
          <w:b/>
          <w:sz w:val="20"/>
        </w:rPr>
      </w:pPr>
    </w:p>
    <w:p>
      <w:pPr>
        <w:pStyle w:val="5"/>
        <w:spacing w:before="9"/>
        <w:ind w:left="0"/>
        <w:rPr>
          <w:b/>
          <w:sz w:val="19"/>
        </w:rPr>
      </w:pPr>
    </w:p>
    <w:p>
      <w:pPr>
        <w:pStyle w:val="4"/>
        <w:tabs>
          <w:tab w:val="left" w:pos="964"/>
        </w:tabs>
        <w:spacing w:before="66"/>
        <w:ind w:left="0" w:right="130"/>
        <w:jc w:val="center"/>
      </w:pPr>
      <w:bookmarkStart w:id="156" w:name="附表二  分项工程进度率计划（斜率图）"/>
      <w:bookmarkEnd w:id="156"/>
      <w:r>
        <w:t>附表二</w:t>
      </w:r>
      <w:r>
        <w:tab/>
      </w:r>
      <w:r>
        <w:t>分项工程进度率计划（斜率图）</w:t>
      </w:r>
    </w:p>
    <w:p>
      <w:pPr>
        <w:pStyle w:val="5"/>
        <w:spacing w:before="5"/>
        <w:ind w:left="0"/>
        <w:rPr>
          <w:b/>
          <w:sz w:val="12"/>
        </w:rPr>
      </w:pPr>
    </w:p>
    <w:tbl>
      <w:tblPr>
        <w:tblStyle w:val="7"/>
        <w:tblW w:w="0" w:type="auto"/>
        <w:tblInd w:w="4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8"/>
        <w:gridCol w:w="735"/>
        <w:gridCol w:w="486"/>
        <w:gridCol w:w="485"/>
        <w:gridCol w:w="485"/>
        <w:gridCol w:w="485"/>
        <w:gridCol w:w="485"/>
        <w:gridCol w:w="485"/>
        <w:gridCol w:w="488"/>
        <w:gridCol w:w="485"/>
        <w:gridCol w:w="485"/>
        <w:gridCol w:w="485"/>
        <w:gridCol w:w="485"/>
        <w:gridCol w:w="485"/>
        <w:gridCol w:w="485"/>
        <w:gridCol w:w="488"/>
        <w:gridCol w:w="485"/>
        <w:gridCol w:w="485"/>
        <w:gridCol w:w="485"/>
        <w:gridCol w:w="485"/>
        <w:gridCol w:w="485"/>
        <w:gridCol w:w="485"/>
        <w:gridCol w:w="485"/>
        <w:gridCol w:w="485"/>
        <w:gridCol w:w="4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3203" w:type="dxa"/>
            <w:gridSpan w:val="2"/>
          </w:tcPr>
          <w:p>
            <w:pPr>
              <w:pStyle w:val="11"/>
              <w:tabs>
                <w:tab w:val="left" w:pos="416"/>
              </w:tabs>
              <w:spacing w:before="70" w:line="237" w:lineRule="exact"/>
              <w:ind w:left="16"/>
              <w:jc w:val="center"/>
              <w:rPr>
                <w:sz w:val="20"/>
              </w:rPr>
            </w:pPr>
            <w:r>
              <w:rPr>
                <w:sz w:val="20"/>
              </w:rPr>
              <w:t>年</w:t>
            </w:r>
            <w:r>
              <w:rPr>
                <w:sz w:val="20"/>
              </w:rPr>
              <w:tab/>
            </w:r>
            <w:r>
              <w:rPr>
                <w:sz w:val="20"/>
              </w:rPr>
              <w:t>度</w:t>
            </w:r>
          </w:p>
        </w:tc>
        <w:tc>
          <w:tcPr>
            <w:tcW w:w="5824" w:type="dxa"/>
            <w:gridSpan w:val="12"/>
          </w:tcPr>
          <w:p>
            <w:pPr>
              <w:pStyle w:val="11"/>
              <w:tabs>
                <w:tab w:val="left" w:pos="509"/>
              </w:tabs>
              <w:spacing w:before="59" w:line="249" w:lineRule="exact"/>
              <w:ind w:left="8"/>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c>
          <w:tcPr>
            <w:tcW w:w="5340" w:type="dxa"/>
            <w:gridSpan w:val="11"/>
          </w:tcPr>
          <w:p>
            <w:pPr>
              <w:pStyle w:val="11"/>
              <w:tabs>
                <w:tab w:val="left" w:pos="505"/>
              </w:tabs>
              <w:spacing w:before="59" w:line="249" w:lineRule="exact"/>
              <w:ind w:left="4"/>
              <w:jc w:val="center"/>
              <w:rPr>
                <w:sz w:val="20"/>
              </w:rPr>
            </w:pPr>
            <w:r>
              <w:rPr>
                <w:rFonts w:ascii="Times New Roman" w:eastAsia="Times New Roman"/>
                <w:w w:val="99"/>
                <w:sz w:val="20"/>
                <w:u w:val="single"/>
              </w:rPr>
              <w:t xml:space="preserve"> </w:t>
            </w:r>
            <w:r>
              <w:rPr>
                <w:rFonts w:ascii="Times New Roman" w:eastAsia="Times New Roman"/>
                <w:sz w:val="20"/>
                <w:u w:val="single"/>
              </w:rPr>
              <w:tab/>
            </w:r>
            <w:r>
              <w:rPr>
                <w:sz w:val="20"/>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203" w:type="dxa"/>
            <w:gridSpan w:val="2"/>
          </w:tcPr>
          <w:p>
            <w:pPr>
              <w:pStyle w:val="11"/>
              <w:tabs>
                <w:tab w:val="left" w:pos="416"/>
              </w:tabs>
              <w:spacing w:before="71" w:line="239" w:lineRule="exact"/>
              <w:ind w:left="16"/>
              <w:jc w:val="center"/>
              <w:rPr>
                <w:sz w:val="20"/>
              </w:rPr>
            </w:pPr>
            <w:r>
              <w:rPr>
                <w:sz w:val="20"/>
              </w:rPr>
              <w:t>季</w:t>
            </w:r>
            <w:r>
              <w:rPr>
                <w:sz w:val="20"/>
              </w:rPr>
              <w:tab/>
            </w:r>
            <w:r>
              <w:rPr>
                <w:sz w:val="20"/>
              </w:rPr>
              <w:t>度</w:t>
            </w:r>
          </w:p>
        </w:tc>
        <w:tc>
          <w:tcPr>
            <w:tcW w:w="1456" w:type="dxa"/>
            <w:gridSpan w:val="3"/>
          </w:tcPr>
          <w:p>
            <w:pPr>
              <w:pStyle w:val="11"/>
              <w:spacing w:before="37"/>
              <w:ind w:left="11"/>
              <w:jc w:val="center"/>
              <w:rPr>
                <w:sz w:val="20"/>
              </w:rPr>
            </w:pPr>
            <w:r>
              <w:rPr>
                <w:w w:val="97"/>
                <w:sz w:val="20"/>
              </w:rPr>
              <w:t>一</w:t>
            </w:r>
          </w:p>
        </w:tc>
        <w:tc>
          <w:tcPr>
            <w:tcW w:w="1455" w:type="dxa"/>
            <w:gridSpan w:val="3"/>
          </w:tcPr>
          <w:p>
            <w:pPr>
              <w:pStyle w:val="11"/>
              <w:spacing w:before="37"/>
              <w:ind w:left="9"/>
              <w:jc w:val="center"/>
              <w:rPr>
                <w:sz w:val="20"/>
              </w:rPr>
            </w:pPr>
            <w:r>
              <w:rPr>
                <w:w w:val="97"/>
                <w:sz w:val="20"/>
              </w:rPr>
              <w:t>二</w:t>
            </w:r>
          </w:p>
        </w:tc>
        <w:tc>
          <w:tcPr>
            <w:tcW w:w="1458" w:type="dxa"/>
            <w:gridSpan w:val="3"/>
          </w:tcPr>
          <w:p>
            <w:pPr>
              <w:pStyle w:val="11"/>
              <w:spacing w:before="37"/>
              <w:ind w:left="9"/>
              <w:jc w:val="center"/>
              <w:rPr>
                <w:sz w:val="20"/>
              </w:rPr>
            </w:pPr>
            <w:r>
              <w:rPr>
                <w:w w:val="97"/>
                <w:sz w:val="20"/>
              </w:rPr>
              <w:t>三</w:t>
            </w:r>
          </w:p>
        </w:tc>
        <w:tc>
          <w:tcPr>
            <w:tcW w:w="1455" w:type="dxa"/>
            <w:gridSpan w:val="3"/>
          </w:tcPr>
          <w:p>
            <w:pPr>
              <w:pStyle w:val="11"/>
              <w:spacing w:before="37"/>
              <w:ind w:left="5"/>
              <w:jc w:val="center"/>
              <w:rPr>
                <w:sz w:val="20"/>
              </w:rPr>
            </w:pPr>
            <w:r>
              <w:rPr>
                <w:w w:val="97"/>
                <w:sz w:val="20"/>
              </w:rPr>
              <w:t>四</w:t>
            </w:r>
          </w:p>
        </w:tc>
        <w:tc>
          <w:tcPr>
            <w:tcW w:w="1458" w:type="dxa"/>
            <w:gridSpan w:val="3"/>
          </w:tcPr>
          <w:p>
            <w:pPr>
              <w:pStyle w:val="11"/>
              <w:spacing w:before="37"/>
              <w:ind w:left="6"/>
              <w:jc w:val="center"/>
              <w:rPr>
                <w:sz w:val="20"/>
              </w:rPr>
            </w:pPr>
            <w:r>
              <w:rPr>
                <w:w w:val="97"/>
                <w:sz w:val="20"/>
              </w:rPr>
              <w:t>一</w:t>
            </w:r>
          </w:p>
        </w:tc>
        <w:tc>
          <w:tcPr>
            <w:tcW w:w="1455" w:type="dxa"/>
            <w:gridSpan w:val="3"/>
          </w:tcPr>
          <w:p>
            <w:pPr>
              <w:pStyle w:val="11"/>
              <w:spacing w:before="37"/>
              <w:ind w:left="6"/>
              <w:jc w:val="center"/>
              <w:rPr>
                <w:sz w:val="20"/>
              </w:rPr>
            </w:pPr>
            <w:r>
              <w:rPr>
                <w:w w:val="97"/>
                <w:sz w:val="20"/>
              </w:rPr>
              <w:t>二</w:t>
            </w:r>
          </w:p>
        </w:tc>
        <w:tc>
          <w:tcPr>
            <w:tcW w:w="1455" w:type="dxa"/>
            <w:gridSpan w:val="3"/>
          </w:tcPr>
          <w:p>
            <w:pPr>
              <w:pStyle w:val="11"/>
              <w:spacing w:before="37"/>
              <w:ind w:left="5"/>
              <w:jc w:val="center"/>
              <w:rPr>
                <w:sz w:val="20"/>
              </w:rPr>
            </w:pPr>
            <w:r>
              <w:rPr>
                <w:w w:val="97"/>
                <w:sz w:val="20"/>
              </w:rPr>
              <w:t>三</w:t>
            </w:r>
          </w:p>
        </w:tc>
        <w:tc>
          <w:tcPr>
            <w:tcW w:w="972" w:type="dxa"/>
            <w:gridSpan w:val="2"/>
          </w:tcPr>
          <w:p>
            <w:pPr>
              <w:pStyle w:val="11"/>
              <w:spacing w:before="37"/>
              <w:ind w:left="2"/>
              <w:jc w:val="center"/>
              <w:rPr>
                <w:sz w:val="20"/>
              </w:rPr>
            </w:pPr>
            <w:r>
              <w:rPr>
                <w:w w:val="97"/>
                <w:sz w:val="20"/>
              </w:rPr>
              <w:t>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203" w:type="dxa"/>
            <w:gridSpan w:val="2"/>
          </w:tcPr>
          <w:p>
            <w:pPr>
              <w:pStyle w:val="11"/>
              <w:tabs>
                <w:tab w:val="left" w:pos="416"/>
              </w:tabs>
              <w:spacing w:before="72" w:line="238" w:lineRule="exact"/>
              <w:ind w:left="16"/>
              <w:jc w:val="center"/>
              <w:rPr>
                <w:sz w:val="20"/>
              </w:rPr>
            </w:pPr>
            <w:r>
              <w:rPr>
                <w:sz w:val="20"/>
              </w:rPr>
              <w:t>月</w:t>
            </w:r>
            <w:r>
              <w:rPr>
                <w:sz w:val="20"/>
              </w:rPr>
              <w:tab/>
            </w:r>
            <w:r>
              <w:rPr>
                <w:sz w:val="20"/>
              </w:rPr>
              <w:t>份</w:t>
            </w:r>
          </w:p>
        </w:tc>
        <w:tc>
          <w:tcPr>
            <w:tcW w:w="486" w:type="dxa"/>
          </w:tcPr>
          <w:p>
            <w:pPr>
              <w:pStyle w:val="11"/>
              <w:spacing w:before="42"/>
              <w:ind w:left="13"/>
              <w:jc w:val="center"/>
              <w:rPr>
                <w:rFonts w:ascii="Times New Roman"/>
                <w:sz w:val="20"/>
              </w:rPr>
            </w:pPr>
            <w:r>
              <w:rPr>
                <w:rFonts w:ascii="Times New Roman"/>
                <w:w w:val="95"/>
                <w:sz w:val="20"/>
              </w:rPr>
              <w:t>1</w:t>
            </w:r>
          </w:p>
        </w:tc>
        <w:tc>
          <w:tcPr>
            <w:tcW w:w="485" w:type="dxa"/>
          </w:tcPr>
          <w:p>
            <w:pPr>
              <w:pStyle w:val="11"/>
              <w:spacing w:before="42"/>
              <w:ind w:left="11"/>
              <w:jc w:val="center"/>
              <w:rPr>
                <w:rFonts w:ascii="Times New Roman"/>
                <w:sz w:val="20"/>
              </w:rPr>
            </w:pPr>
            <w:r>
              <w:rPr>
                <w:rFonts w:ascii="Times New Roman"/>
                <w:w w:val="95"/>
                <w:sz w:val="20"/>
              </w:rPr>
              <w:t>2</w:t>
            </w:r>
          </w:p>
        </w:tc>
        <w:tc>
          <w:tcPr>
            <w:tcW w:w="485" w:type="dxa"/>
          </w:tcPr>
          <w:p>
            <w:pPr>
              <w:pStyle w:val="11"/>
              <w:spacing w:before="42"/>
              <w:ind w:left="11"/>
              <w:jc w:val="center"/>
              <w:rPr>
                <w:rFonts w:ascii="Times New Roman"/>
                <w:sz w:val="20"/>
              </w:rPr>
            </w:pPr>
            <w:r>
              <w:rPr>
                <w:rFonts w:ascii="Times New Roman"/>
                <w:w w:val="95"/>
                <w:sz w:val="20"/>
              </w:rPr>
              <w:t>3</w:t>
            </w:r>
          </w:p>
        </w:tc>
        <w:tc>
          <w:tcPr>
            <w:tcW w:w="485" w:type="dxa"/>
          </w:tcPr>
          <w:p>
            <w:pPr>
              <w:pStyle w:val="11"/>
              <w:spacing w:before="42"/>
              <w:ind w:left="10"/>
              <w:jc w:val="center"/>
              <w:rPr>
                <w:rFonts w:ascii="Times New Roman"/>
                <w:sz w:val="20"/>
              </w:rPr>
            </w:pPr>
            <w:r>
              <w:rPr>
                <w:rFonts w:ascii="Times New Roman"/>
                <w:w w:val="95"/>
                <w:sz w:val="20"/>
              </w:rPr>
              <w:t>4</w:t>
            </w:r>
          </w:p>
        </w:tc>
        <w:tc>
          <w:tcPr>
            <w:tcW w:w="485" w:type="dxa"/>
          </w:tcPr>
          <w:p>
            <w:pPr>
              <w:pStyle w:val="11"/>
              <w:spacing w:before="42"/>
              <w:ind w:left="5"/>
              <w:jc w:val="center"/>
              <w:rPr>
                <w:rFonts w:ascii="Times New Roman"/>
                <w:sz w:val="20"/>
              </w:rPr>
            </w:pPr>
            <w:r>
              <w:rPr>
                <w:rFonts w:ascii="Times New Roman"/>
                <w:w w:val="95"/>
                <w:sz w:val="20"/>
              </w:rPr>
              <w:t>5</w:t>
            </w:r>
          </w:p>
        </w:tc>
        <w:tc>
          <w:tcPr>
            <w:tcW w:w="485" w:type="dxa"/>
          </w:tcPr>
          <w:p>
            <w:pPr>
              <w:pStyle w:val="11"/>
              <w:spacing w:before="42"/>
              <w:ind w:left="10"/>
              <w:jc w:val="center"/>
              <w:rPr>
                <w:rFonts w:ascii="Times New Roman"/>
                <w:sz w:val="20"/>
              </w:rPr>
            </w:pPr>
            <w:r>
              <w:rPr>
                <w:rFonts w:ascii="Times New Roman"/>
                <w:w w:val="95"/>
                <w:sz w:val="20"/>
              </w:rPr>
              <w:t>6</w:t>
            </w:r>
          </w:p>
        </w:tc>
        <w:tc>
          <w:tcPr>
            <w:tcW w:w="488" w:type="dxa"/>
          </w:tcPr>
          <w:p>
            <w:pPr>
              <w:pStyle w:val="11"/>
              <w:spacing w:before="42"/>
              <w:ind w:left="6"/>
              <w:jc w:val="center"/>
              <w:rPr>
                <w:rFonts w:ascii="Times New Roman"/>
                <w:sz w:val="20"/>
              </w:rPr>
            </w:pPr>
            <w:r>
              <w:rPr>
                <w:rFonts w:ascii="Times New Roman"/>
                <w:w w:val="95"/>
                <w:sz w:val="20"/>
              </w:rPr>
              <w:t>7</w:t>
            </w:r>
          </w:p>
        </w:tc>
        <w:tc>
          <w:tcPr>
            <w:tcW w:w="485" w:type="dxa"/>
          </w:tcPr>
          <w:p>
            <w:pPr>
              <w:pStyle w:val="11"/>
              <w:spacing w:before="42"/>
              <w:ind w:left="8"/>
              <w:jc w:val="center"/>
              <w:rPr>
                <w:rFonts w:ascii="Times New Roman"/>
                <w:sz w:val="20"/>
              </w:rPr>
            </w:pPr>
            <w:r>
              <w:rPr>
                <w:rFonts w:ascii="Times New Roman"/>
                <w:w w:val="95"/>
                <w:sz w:val="20"/>
              </w:rPr>
              <w:t>8</w:t>
            </w:r>
          </w:p>
        </w:tc>
        <w:tc>
          <w:tcPr>
            <w:tcW w:w="485" w:type="dxa"/>
          </w:tcPr>
          <w:p>
            <w:pPr>
              <w:pStyle w:val="11"/>
              <w:spacing w:before="42"/>
              <w:ind w:left="7"/>
              <w:jc w:val="center"/>
              <w:rPr>
                <w:rFonts w:ascii="Times New Roman"/>
                <w:sz w:val="20"/>
              </w:rPr>
            </w:pPr>
            <w:r>
              <w:rPr>
                <w:rFonts w:ascii="Times New Roman"/>
                <w:w w:val="95"/>
                <w:sz w:val="20"/>
              </w:rPr>
              <w:t>9</w:t>
            </w:r>
          </w:p>
        </w:tc>
        <w:tc>
          <w:tcPr>
            <w:tcW w:w="485" w:type="dxa"/>
          </w:tcPr>
          <w:p>
            <w:pPr>
              <w:pStyle w:val="11"/>
              <w:spacing w:before="42"/>
              <w:ind w:left="142"/>
              <w:rPr>
                <w:rFonts w:ascii="Times New Roman"/>
                <w:sz w:val="20"/>
              </w:rPr>
            </w:pPr>
            <w:r>
              <w:rPr>
                <w:rFonts w:ascii="Times New Roman"/>
                <w:sz w:val="20"/>
              </w:rPr>
              <w:t>10</w:t>
            </w:r>
          </w:p>
        </w:tc>
        <w:tc>
          <w:tcPr>
            <w:tcW w:w="485" w:type="dxa"/>
          </w:tcPr>
          <w:p>
            <w:pPr>
              <w:pStyle w:val="11"/>
              <w:spacing w:before="42"/>
              <w:ind w:left="147"/>
              <w:rPr>
                <w:rFonts w:ascii="Times New Roman"/>
                <w:sz w:val="20"/>
              </w:rPr>
            </w:pPr>
            <w:r>
              <w:rPr>
                <w:rFonts w:ascii="Times New Roman"/>
                <w:sz w:val="20"/>
              </w:rPr>
              <w:t>11</w:t>
            </w:r>
          </w:p>
        </w:tc>
        <w:tc>
          <w:tcPr>
            <w:tcW w:w="485" w:type="dxa"/>
          </w:tcPr>
          <w:p>
            <w:pPr>
              <w:pStyle w:val="11"/>
              <w:spacing w:before="42"/>
              <w:ind w:left="142"/>
              <w:rPr>
                <w:rFonts w:ascii="Times New Roman"/>
                <w:sz w:val="20"/>
              </w:rPr>
            </w:pPr>
            <w:r>
              <w:rPr>
                <w:rFonts w:ascii="Times New Roman"/>
                <w:sz w:val="20"/>
              </w:rPr>
              <w:t>12</w:t>
            </w:r>
          </w:p>
        </w:tc>
        <w:tc>
          <w:tcPr>
            <w:tcW w:w="485" w:type="dxa"/>
          </w:tcPr>
          <w:p>
            <w:pPr>
              <w:pStyle w:val="11"/>
              <w:spacing w:before="42"/>
              <w:ind w:left="6"/>
              <w:jc w:val="center"/>
              <w:rPr>
                <w:rFonts w:ascii="Times New Roman"/>
                <w:sz w:val="20"/>
              </w:rPr>
            </w:pPr>
            <w:r>
              <w:rPr>
                <w:rFonts w:ascii="Times New Roman"/>
                <w:w w:val="95"/>
                <w:sz w:val="20"/>
              </w:rPr>
              <w:t>1</w:t>
            </w:r>
          </w:p>
        </w:tc>
        <w:tc>
          <w:tcPr>
            <w:tcW w:w="488" w:type="dxa"/>
          </w:tcPr>
          <w:p>
            <w:pPr>
              <w:pStyle w:val="11"/>
              <w:spacing w:before="42"/>
              <w:ind w:left="7"/>
              <w:jc w:val="center"/>
              <w:rPr>
                <w:rFonts w:ascii="Times New Roman"/>
                <w:sz w:val="20"/>
              </w:rPr>
            </w:pPr>
            <w:r>
              <w:rPr>
                <w:rFonts w:ascii="Times New Roman"/>
                <w:w w:val="95"/>
                <w:sz w:val="20"/>
              </w:rPr>
              <w:t>2</w:t>
            </w:r>
          </w:p>
        </w:tc>
        <w:tc>
          <w:tcPr>
            <w:tcW w:w="485" w:type="dxa"/>
          </w:tcPr>
          <w:p>
            <w:pPr>
              <w:pStyle w:val="11"/>
              <w:spacing w:before="42"/>
              <w:ind w:left="4"/>
              <w:jc w:val="center"/>
              <w:rPr>
                <w:rFonts w:ascii="Times New Roman"/>
                <w:sz w:val="20"/>
              </w:rPr>
            </w:pPr>
            <w:r>
              <w:rPr>
                <w:rFonts w:ascii="Times New Roman"/>
                <w:w w:val="95"/>
                <w:sz w:val="20"/>
              </w:rPr>
              <w:t>3</w:t>
            </w:r>
          </w:p>
        </w:tc>
        <w:tc>
          <w:tcPr>
            <w:tcW w:w="485" w:type="dxa"/>
          </w:tcPr>
          <w:p>
            <w:pPr>
              <w:pStyle w:val="11"/>
              <w:spacing w:before="42"/>
              <w:ind w:left="3"/>
              <w:jc w:val="center"/>
              <w:rPr>
                <w:rFonts w:ascii="Times New Roman"/>
                <w:sz w:val="20"/>
              </w:rPr>
            </w:pPr>
            <w:r>
              <w:rPr>
                <w:rFonts w:ascii="Times New Roman"/>
                <w:w w:val="95"/>
                <w:sz w:val="20"/>
              </w:rPr>
              <w:t>4</w:t>
            </w:r>
          </w:p>
        </w:tc>
        <w:tc>
          <w:tcPr>
            <w:tcW w:w="485" w:type="dxa"/>
          </w:tcPr>
          <w:p>
            <w:pPr>
              <w:pStyle w:val="11"/>
              <w:spacing w:before="42"/>
              <w:ind w:left="3"/>
              <w:jc w:val="center"/>
              <w:rPr>
                <w:rFonts w:ascii="Times New Roman"/>
                <w:sz w:val="20"/>
              </w:rPr>
            </w:pPr>
            <w:r>
              <w:rPr>
                <w:rFonts w:ascii="Times New Roman"/>
                <w:w w:val="95"/>
                <w:sz w:val="20"/>
              </w:rPr>
              <w:t>5</w:t>
            </w:r>
          </w:p>
        </w:tc>
        <w:tc>
          <w:tcPr>
            <w:tcW w:w="485" w:type="dxa"/>
          </w:tcPr>
          <w:p>
            <w:pPr>
              <w:pStyle w:val="11"/>
              <w:spacing w:before="42"/>
              <w:ind w:left="2"/>
              <w:jc w:val="center"/>
              <w:rPr>
                <w:rFonts w:ascii="Times New Roman"/>
                <w:sz w:val="20"/>
              </w:rPr>
            </w:pPr>
            <w:r>
              <w:rPr>
                <w:rFonts w:ascii="Times New Roman"/>
                <w:w w:val="95"/>
                <w:sz w:val="20"/>
              </w:rPr>
              <w:t>6</w:t>
            </w:r>
          </w:p>
        </w:tc>
        <w:tc>
          <w:tcPr>
            <w:tcW w:w="485" w:type="dxa"/>
          </w:tcPr>
          <w:p>
            <w:pPr>
              <w:pStyle w:val="11"/>
              <w:spacing w:before="42"/>
              <w:ind w:left="7"/>
              <w:jc w:val="center"/>
              <w:rPr>
                <w:rFonts w:ascii="Times New Roman"/>
                <w:sz w:val="20"/>
              </w:rPr>
            </w:pPr>
            <w:r>
              <w:rPr>
                <w:rFonts w:ascii="Times New Roman"/>
                <w:w w:val="95"/>
                <w:sz w:val="20"/>
              </w:rPr>
              <w:t>7</w:t>
            </w:r>
          </w:p>
        </w:tc>
        <w:tc>
          <w:tcPr>
            <w:tcW w:w="485" w:type="dxa"/>
          </w:tcPr>
          <w:p>
            <w:pPr>
              <w:pStyle w:val="11"/>
              <w:spacing w:before="42"/>
              <w:ind w:left="6"/>
              <w:jc w:val="center"/>
              <w:rPr>
                <w:rFonts w:ascii="Times New Roman"/>
                <w:sz w:val="20"/>
              </w:rPr>
            </w:pPr>
            <w:r>
              <w:rPr>
                <w:rFonts w:ascii="Times New Roman"/>
                <w:w w:val="95"/>
                <w:sz w:val="20"/>
              </w:rPr>
              <w:t>8</w:t>
            </w:r>
          </w:p>
        </w:tc>
        <w:tc>
          <w:tcPr>
            <w:tcW w:w="485" w:type="dxa"/>
          </w:tcPr>
          <w:p>
            <w:pPr>
              <w:pStyle w:val="11"/>
              <w:spacing w:before="42"/>
              <w:ind w:left="6"/>
              <w:jc w:val="center"/>
              <w:rPr>
                <w:rFonts w:ascii="Times New Roman"/>
                <w:sz w:val="20"/>
              </w:rPr>
            </w:pPr>
            <w:r>
              <w:rPr>
                <w:rFonts w:ascii="Times New Roman"/>
                <w:w w:val="95"/>
                <w:sz w:val="20"/>
              </w:rPr>
              <w:t>9</w:t>
            </w:r>
          </w:p>
        </w:tc>
        <w:tc>
          <w:tcPr>
            <w:tcW w:w="485" w:type="dxa"/>
          </w:tcPr>
          <w:p>
            <w:pPr>
              <w:pStyle w:val="11"/>
              <w:spacing w:before="42"/>
              <w:ind w:left="139"/>
              <w:rPr>
                <w:rFonts w:ascii="Times New Roman"/>
                <w:sz w:val="20"/>
              </w:rPr>
            </w:pPr>
            <w:r>
              <w:rPr>
                <w:rFonts w:ascii="Times New Roman"/>
                <w:sz w:val="20"/>
              </w:rPr>
              <w:t>10</w:t>
            </w:r>
          </w:p>
        </w:tc>
        <w:tc>
          <w:tcPr>
            <w:tcW w:w="487" w:type="dxa"/>
          </w:tcPr>
          <w:p>
            <w:pPr>
              <w:pStyle w:val="11"/>
              <w:spacing w:line="247" w:lineRule="exact"/>
              <w:ind w:left="106"/>
              <w:rPr>
                <w:sz w:val="21"/>
              </w:rPr>
            </w:pPr>
            <w:r>
              <w:rPr>
                <w:w w:val="99"/>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restart"/>
            <w:tcBorders>
              <w:right w:val="nil"/>
            </w:tcBorders>
          </w:tcPr>
          <w:p>
            <w:pPr>
              <w:pStyle w:val="11"/>
              <w:spacing w:before="3"/>
              <w:ind w:left="195"/>
              <w:rPr>
                <w:sz w:val="20"/>
              </w:rPr>
            </w:pPr>
            <w:r>
              <w:rPr>
                <w:sz w:val="20"/>
              </w:rPr>
              <w:t>图例：</w:t>
            </w:r>
          </w:p>
        </w:tc>
        <w:tc>
          <w:tcPr>
            <w:tcW w:w="735" w:type="dxa"/>
            <w:vMerge w:val="restart"/>
            <w:tcBorders>
              <w:left w:val="nil"/>
            </w:tcBorders>
          </w:tcPr>
          <w:p>
            <w:pPr>
              <w:pStyle w:val="11"/>
              <w:spacing w:line="222" w:lineRule="exact"/>
              <w:ind w:left="396"/>
              <w:rPr>
                <w:rFonts w:ascii="Times New Roman"/>
                <w:sz w:val="20"/>
              </w:rPr>
            </w:pPr>
            <w:r>
              <w:rPr>
                <w:rFonts w:ascii="Times New Roman"/>
                <w:sz w:val="20"/>
              </w:rPr>
              <w:t>100</w:t>
            </w:r>
          </w:p>
          <w:p>
            <w:pPr>
              <w:pStyle w:val="11"/>
              <w:rPr>
                <w:b/>
                <w:sz w:val="26"/>
              </w:rPr>
            </w:pPr>
          </w:p>
          <w:p>
            <w:pPr>
              <w:pStyle w:val="11"/>
              <w:spacing w:before="1"/>
              <w:ind w:right="30"/>
              <w:jc w:val="right"/>
              <w:rPr>
                <w:rFonts w:ascii="Times New Roman"/>
                <w:sz w:val="20"/>
              </w:rPr>
            </w:pPr>
            <w:r>
              <w:rPr>
                <w:rFonts w:ascii="Times New Roman"/>
                <w:sz w:val="20"/>
              </w:rPr>
              <w:t>90</w:t>
            </w:r>
          </w:p>
          <w:p>
            <w:pPr>
              <w:pStyle w:val="11"/>
              <w:spacing w:before="12"/>
              <w:rPr>
                <w:b/>
                <w:sz w:val="24"/>
              </w:rPr>
            </w:pPr>
          </w:p>
          <w:p>
            <w:pPr>
              <w:pStyle w:val="11"/>
              <w:ind w:right="30"/>
              <w:jc w:val="right"/>
              <w:rPr>
                <w:rFonts w:ascii="Times New Roman"/>
                <w:sz w:val="20"/>
              </w:rPr>
            </w:pPr>
            <w:r>
              <w:rPr>
                <w:rFonts w:ascii="Times New Roman"/>
                <w:sz w:val="20"/>
              </w:rPr>
              <w:t>80</w:t>
            </w:r>
          </w:p>
          <w:p>
            <w:pPr>
              <w:pStyle w:val="11"/>
              <w:spacing w:before="4"/>
              <w:rPr>
                <w:b/>
                <w:sz w:val="27"/>
              </w:rPr>
            </w:pPr>
          </w:p>
          <w:p>
            <w:pPr>
              <w:pStyle w:val="11"/>
              <w:spacing w:before="1"/>
              <w:ind w:right="30"/>
              <w:jc w:val="right"/>
              <w:rPr>
                <w:rFonts w:ascii="Times New Roman"/>
                <w:sz w:val="20"/>
              </w:rPr>
            </w:pPr>
            <w:r>
              <w:rPr>
                <w:rFonts w:ascii="Times New Roman"/>
                <w:sz w:val="20"/>
              </w:rPr>
              <w:t>70</w:t>
            </w:r>
          </w:p>
          <w:p>
            <w:pPr>
              <w:pStyle w:val="11"/>
              <w:rPr>
                <w:b/>
                <w:sz w:val="29"/>
              </w:rPr>
            </w:pPr>
          </w:p>
          <w:p>
            <w:pPr>
              <w:pStyle w:val="11"/>
              <w:ind w:right="30"/>
              <w:jc w:val="right"/>
              <w:rPr>
                <w:rFonts w:ascii="Times New Roman"/>
                <w:sz w:val="20"/>
              </w:rPr>
            </w:pPr>
            <w:r>
              <w:rPr>
                <w:rFonts w:ascii="Times New Roman"/>
                <w:sz w:val="20"/>
              </w:rPr>
              <w:t>60</w:t>
            </w:r>
          </w:p>
          <w:p>
            <w:pPr>
              <w:pStyle w:val="11"/>
              <w:rPr>
                <w:b/>
                <w:sz w:val="30"/>
              </w:rPr>
            </w:pPr>
          </w:p>
          <w:p>
            <w:pPr>
              <w:pStyle w:val="11"/>
              <w:ind w:right="30"/>
              <w:jc w:val="right"/>
              <w:rPr>
                <w:rFonts w:ascii="Times New Roman"/>
                <w:sz w:val="20"/>
              </w:rPr>
            </w:pPr>
            <w:r>
              <w:rPr>
                <w:rFonts w:ascii="Times New Roman"/>
                <w:sz w:val="20"/>
              </w:rPr>
              <w:t>50</w:t>
            </w:r>
          </w:p>
          <w:p>
            <w:pPr>
              <w:pStyle w:val="11"/>
              <w:rPr>
                <w:b/>
                <w:sz w:val="22"/>
              </w:rPr>
            </w:pPr>
          </w:p>
          <w:p>
            <w:pPr>
              <w:pStyle w:val="11"/>
              <w:spacing w:before="156"/>
              <w:ind w:right="30"/>
              <w:jc w:val="right"/>
              <w:rPr>
                <w:rFonts w:ascii="Times New Roman"/>
                <w:sz w:val="20"/>
              </w:rPr>
            </w:pPr>
            <w:r>
              <w:rPr>
                <w:rFonts w:ascii="Times New Roman"/>
                <w:sz w:val="20"/>
              </w:rPr>
              <w:t>40</w:t>
            </w:r>
          </w:p>
          <w:p>
            <w:pPr>
              <w:pStyle w:val="11"/>
              <w:spacing w:before="11"/>
              <w:rPr>
                <w:b/>
                <w:sz w:val="22"/>
              </w:rPr>
            </w:pPr>
          </w:p>
          <w:p>
            <w:pPr>
              <w:pStyle w:val="11"/>
              <w:ind w:right="30"/>
              <w:jc w:val="right"/>
              <w:rPr>
                <w:rFonts w:ascii="Times New Roman"/>
                <w:sz w:val="20"/>
              </w:rPr>
            </w:pPr>
            <w:r>
              <w:rPr>
                <w:rFonts w:ascii="Times New Roman"/>
                <w:sz w:val="20"/>
              </w:rPr>
              <w:t>30</w:t>
            </w:r>
          </w:p>
          <w:p>
            <w:pPr>
              <w:pStyle w:val="11"/>
              <w:spacing w:before="2"/>
              <w:rPr>
                <w:b/>
                <w:sz w:val="16"/>
              </w:rPr>
            </w:pPr>
          </w:p>
          <w:p>
            <w:pPr>
              <w:pStyle w:val="11"/>
              <w:ind w:right="30"/>
              <w:jc w:val="right"/>
              <w:rPr>
                <w:rFonts w:ascii="Times New Roman"/>
                <w:sz w:val="20"/>
              </w:rPr>
            </w:pPr>
            <w:r>
              <w:rPr>
                <w:rFonts w:ascii="Times New Roman"/>
                <w:sz w:val="20"/>
              </w:rPr>
              <w:t>20</w:t>
            </w:r>
          </w:p>
          <w:p>
            <w:pPr>
              <w:pStyle w:val="11"/>
              <w:spacing w:before="4"/>
              <w:rPr>
                <w:b/>
                <w:sz w:val="25"/>
              </w:rPr>
            </w:pPr>
          </w:p>
          <w:p>
            <w:pPr>
              <w:pStyle w:val="11"/>
              <w:ind w:right="30"/>
              <w:jc w:val="right"/>
              <w:rPr>
                <w:rFonts w:ascii="Times New Roman"/>
                <w:sz w:val="20"/>
              </w:rPr>
            </w:pPr>
            <w:r>
              <w:rPr>
                <w:rFonts w:ascii="Times New Roman"/>
                <w:sz w:val="20"/>
              </w:rPr>
              <w:t>10</w:t>
            </w: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2468" w:type="dxa"/>
            <w:vMerge w:val="restart"/>
            <w:tcBorders>
              <w:bottom w:val="dotDash" w:color="000000" w:sz="4" w:space="0"/>
              <w:right w:val="nil"/>
            </w:tcBorders>
          </w:tcPr>
          <w:p>
            <w:pPr>
              <w:pStyle w:val="11"/>
              <w:spacing w:before="1"/>
              <w:ind w:left="865"/>
              <w:rPr>
                <w:sz w:val="20"/>
              </w:rPr>
            </w:pPr>
            <w:r>
              <w:rPr>
                <w:sz w:val="20"/>
              </w:rPr>
              <w:t>施工准备</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468" w:type="dxa"/>
            <w:vMerge w:val="continue"/>
            <w:tcBorders>
              <w:top w:val="nil"/>
              <w:bottom w:val="dotDash" w:color="000000" w:sz="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2468" w:type="dxa"/>
            <w:vMerge w:val="restart"/>
            <w:tcBorders>
              <w:top w:val="dotDash" w:color="000000" w:sz="4" w:space="0"/>
              <w:bottom w:val="dotted" w:color="000000" w:sz="4" w:space="0"/>
              <w:right w:val="nil"/>
            </w:tcBorders>
          </w:tcPr>
          <w:p>
            <w:pPr>
              <w:pStyle w:val="11"/>
              <w:spacing w:line="252" w:lineRule="exact"/>
              <w:ind w:left="865"/>
              <w:rPr>
                <w:sz w:val="20"/>
              </w:rPr>
            </w:pPr>
            <w:r>
              <w:rPr>
                <w:sz w:val="20"/>
              </w:rPr>
              <w:t>路基施工</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68" w:type="dxa"/>
            <w:vMerge w:val="continue"/>
            <w:tcBorders>
              <w:top w:val="nil"/>
              <w:bottom w:val="dotted" w:color="000000" w:sz="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2468" w:type="dxa"/>
            <w:vMerge w:val="restart"/>
            <w:tcBorders>
              <w:top w:val="dotted" w:color="000000" w:sz="4" w:space="0"/>
              <w:bottom w:val="thinThickThinSmallGap" w:color="000000" w:sz="12" w:space="0"/>
              <w:right w:val="nil"/>
            </w:tcBorders>
          </w:tcPr>
          <w:p>
            <w:pPr>
              <w:pStyle w:val="11"/>
              <w:spacing w:before="11"/>
              <w:ind w:left="865"/>
              <w:rPr>
                <w:sz w:val="20"/>
              </w:rPr>
            </w:pPr>
            <w:r>
              <w:rPr>
                <w:sz w:val="20"/>
              </w:rPr>
              <w:t>路面基层</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 w:hRule="atLeast"/>
        </w:trPr>
        <w:tc>
          <w:tcPr>
            <w:tcW w:w="2468" w:type="dxa"/>
            <w:vMerge w:val="continue"/>
            <w:tcBorders>
              <w:top w:val="nil"/>
              <w:bottom w:val="thinThickThinSmallGap" w:color="000000" w:sz="12"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468" w:type="dxa"/>
            <w:vMerge w:val="restart"/>
            <w:tcBorders>
              <w:top w:val="thinThickThinSmallGap" w:color="000000" w:sz="12" w:space="0"/>
              <w:bottom w:val="dotted" w:color="000000" w:sz="24" w:space="0"/>
              <w:right w:val="nil"/>
            </w:tcBorders>
          </w:tcPr>
          <w:p>
            <w:pPr>
              <w:pStyle w:val="11"/>
              <w:spacing w:before="50"/>
              <w:ind w:left="865"/>
              <w:rPr>
                <w:sz w:val="20"/>
              </w:rPr>
            </w:pPr>
            <w:r>
              <w:rPr>
                <w:sz w:val="20"/>
              </w:rPr>
              <w:t>路面面层</w:t>
            </w: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 w:hRule="atLeast"/>
        </w:trPr>
        <w:tc>
          <w:tcPr>
            <w:tcW w:w="2468" w:type="dxa"/>
            <w:vMerge w:val="continue"/>
            <w:tcBorders>
              <w:top w:val="nil"/>
              <w:bottom w:val="dotted" w:color="000000" w:sz="2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7" w:type="dxa"/>
          </w:tcPr>
          <w:p>
            <w:pPr>
              <w:pStyle w:val="11"/>
              <w:rPr>
                <w:rFonts w:ascii="Times New Roman"/>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468" w:type="dxa"/>
            <w:vMerge w:val="restart"/>
            <w:tcBorders>
              <w:top w:val="dotted" w:color="000000" w:sz="24" w:space="0"/>
              <w:bottom w:val="thickThinMediumGap" w:color="000000" w:sz="12" w:space="0"/>
              <w:right w:val="nil"/>
            </w:tcBorders>
          </w:tcPr>
          <w:p>
            <w:pPr>
              <w:pStyle w:val="11"/>
              <w:spacing w:before="39"/>
              <w:ind w:left="634"/>
              <w:rPr>
                <w:sz w:val="20"/>
              </w:rPr>
            </w:pPr>
            <w:r>
              <w:rPr>
                <w:sz w:val="20"/>
              </w:rPr>
              <w:t>标识标牌制作</w:t>
            </w:r>
          </w:p>
        </w:tc>
        <w:tc>
          <w:tcPr>
            <w:tcW w:w="735" w:type="dxa"/>
            <w:vMerge w:val="continue"/>
            <w:tcBorders>
              <w:top w:val="nil"/>
              <w:left w:val="nil"/>
            </w:tcBorders>
          </w:tcPr>
          <w:p>
            <w:pPr>
              <w:rPr>
                <w:sz w:val="2"/>
                <w:szCs w:val="2"/>
              </w:rPr>
            </w:pPr>
          </w:p>
        </w:tc>
        <w:tc>
          <w:tcPr>
            <w:tcW w:w="486"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8"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5" w:type="dxa"/>
          </w:tcPr>
          <w:p>
            <w:pPr>
              <w:pStyle w:val="11"/>
              <w:rPr>
                <w:rFonts w:ascii="Times New Roman"/>
                <w:sz w:val="18"/>
              </w:rPr>
            </w:pPr>
          </w:p>
        </w:tc>
        <w:tc>
          <w:tcPr>
            <w:tcW w:w="48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2468" w:type="dxa"/>
            <w:vMerge w:val="continue"/>
            <w:tcBorders>
              <w:top w:val="nil"/>
              <w:bottom w:val="thickThinMediumGap" w:color="000000" w:sz="12"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2468" w:type="dxa"/>
            <w:vMerge w:val="restart"/>
            <w:tcBorders>
              <w:top w:val="thinThickMediumGap" w:color="000000" w:sz="12" w:space="0"/>
              <w:bottom w:val="dotted" w:color="000000" w:sz="24" w:space="0"/>
              <w:right w:val="nil"/>
            </w:tcBorders>
          </w:tcPr>
          <w:p>
            <w:pPr>
              <w:pStyle w:val="11"/>
              <w:spacing w:before="49"/>
              <w:ind w:left="9"/>
              <w:jc w:val="center"/>
              <w:rPr>
                <w:sz w:val="20"/>
              </w:rPr>
            </w:pPr>
            <w:r>
              <w:rPr>
                <w:sz w:val="20"/>
              </w:rPr>
              <w:t>安装施工</w:t>
            </w: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 w:hRule="atLeast"/>
        </w:trPr>
        <w:tc>
          <w:tcPr>
            <w:tcW w:w="2468" w:type="dxa"/>
            <w:vMerge w:val="continue"/>
            <w:tcBorders>
              <w:top w:val="nil"/>
              <w:bottom w:val="dotted" w:color="000000" w:sz="24" w:space="0"/>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2468" w:type="dxa"/>
            <w:vMerge w:val="restart"/>
            <w:tcBorders>
              <w:top w:val="dotted" w:color="000000" w:sz="24" w:space="0"/>
              <w:right w:val="nil"/>
            </w:tcBorders>
          </w:tcPr>
          <w:p>
            <w:pPr>
              <w:pStyle w:val="11"/>
              <w:tabs>
                <w:tab w:val="left" w:pos="609"/>
              </w:tabs>
              <w:spacing w:before="71"/>
              <w:ind w:left="9"/>
              <w:jc w:val="center"/>
              <w:rPr>
                <w:sz w:val="20"/>
              </w:rPr>
            </w:pPr>
            <w:r>
              <w:rPr>
                <w:sz w:val="20"/>
              </w:rPr>
              <w:t>其</w:t>
            </w:r>
            <w:r>
              <w:rPr>
                <w:sz w:val="20"/>
              </w:rPr>
              <w:tab/>
            </w:r>
            <w:r>
              <w:rPr>
                <w:sz w:val="20"/>
              </w:rPr>
              <w:t>他</w:t>
            </w:r>
          </w:p>
          <w:p>
            <w:pPr>
              <w:pStyle w:val="11"/>
              <w:rPr>
                <w:b/>
                <w:sz w:val="20"/>
              </w:rPr>
            </w:pPr>
          </w:p>
          <w:p>
            <w:pPr>
              <w:pStyle w:val="11"/>
              <w:spacing w:before="11" w:after="1"/>
              <w:rPr>
                <w:b/>
                <w:sz w:val="28"/>
              </w:rPr>
            </w:pPr>
          </w:p>
          <w:p>
            <w:pPr>
              <w:pStyle w:val="11"/>
              <w:spacing w:line="31" w:lineRule="exact"/>
              <w:ind w:left="-1" w:right="-15"/>
              <w:rPr>
                <w:sz w:val="3"/>
              </w:rPr>
            </w:pPr>
            <w:r>
              <w:rPr>
                <w:position w:val="0"/>
                <w:sz w:val="3"/>
              </w:rPr>
              <w:drawing>
                <wp:inline distT="0" distB="0" distL="0" distR="0">
                  <wp:extent cx="1544320" cy="1968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24" cstate="print"/>
                          <a:stretch>
                            <a:fillRect/>
                          </a:stretch>
                        </pic:blipFill>
                        <pic:spPr>
                          <a:xfrm>
                            <a:off x="0" y="0"/>
                            <a:ext cx="1544356" cy="19812"/>
                          </a:xfrm>
                          <a:prstGeom prst="rect">
                            <a:avLst/>
                          </a:prstGeom>
                        </pic:spPr>
                      </pic:pic>
                    </a:graphicData>
                  </a:graphic>
                </wp:inline>
              </w:drawing>
            </w:r>
          </w:p>
          <w:p>
            <w:pPr>
              <w:pStyle w:val="11"/>
              <w:rPr>
                <w:b/>
                <w:sz w:val="20"/>
              </w:rPr>
            </w:pPr>
          </w:p>
          <w:p>
            <w:pPr>
              <w:pStyle w:val="11"/>
              <w:spacing w:before="10"/>
              <w:rPr>
                <w:b/>
                <w:sz w:val="21"/>
              </w:rPr>
            </w:pPr>
          </w:p>
        </w:tc>
        <w:tc>
          <w:tcPr>
            <w:tcW w:w="735" w:type="dxa"/>
            <w:vMerge w:val="continue"/>
            <w:tcBorders>
              <w:top w:val="nil"/>
              <w:left w:val="nil"/>
            </w:tcBorders>
          </w:tcPr>
          <w:p>
            <w:pPr>
              <w:rPr>
                <w:sz w:val="2"/>
                <w:szCs w:val="2"/>
              </w:rPr>
            </w:pPr>
          </w:p>
        </w:tc>
        <w:tc>
          <w:tcPr>
            <w:tcW w:w="486"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8"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5" w:type="dxa"/>
          </w:tcPr>
          <w:p>
            <w:pPr>
              <w:pStyle w:val="11"/>
              <w:rPr>
                <w:rFonts w:ascii="Times New Roman"/>
                <w:sz w:val="14"/>
              </w:rPr>
            </w:pPr>
          </w:p>
        </w:tc>
        <w:tc>
          <w:tcPr>
            <w:tcW w:w="487" w:type="dxa"/>
          </w:tcPr>
          <w:p>
            <w:pPr>
              <w:pStyle w:val="11"/>
              <w:rPr>
                <w:rFonts w:ascii="Times New Roman"/>
                <w:sz w:val="1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8"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5" w:type="dxa"/>
          </w:tcPr>
          <w:p>
            <w:pPr>
              <w:pStyle w:val="11"/>
              <w:rPr>
                <w:rFonts w:ascii="Times New Roman"/>
                <w:sz w:val="12"/>
              </w:rPr>
            </w:pPr>
          </w:p>
        </w:tc>
        <w:tc>
          <w:tcPr>
            <w:tcW w:w="487" w:type="dxa"/>
          </w:tcPr>
          <w:p>
            <w:pPr>
              <w:pStyle w:val="11"/>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8"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5" w:type="dxa"/>
          </w:tcPr>
          <w:p>
            <w:pPr>
              <w:pStyle w:val="11"/>
              <w:rPr>
                <w:rFonts w:ascii="Times New Roman"/>
                <w:sz w:val="16"/>
              </w:rPr>
            </w:pPr>
          </w:p>
        </w:tc>
        <w:tc>
          <w:tcPr>
            <w:tcW w:w="48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2468" w:type="dxa"/>
            <w:vMerge w:val="continue"/>
            <w:tcBorders>
              <w:top w:val="nil"/>
              <w:right w:val="nil"/>
            </w:tcBorders>
          </w:tcPr>
          <w:p>
            <w:pPr>
              <w:rPr>
                <w:sz w:val="2"/>
                <w:szCs w:val="2"/>
              </w:rPr>
            </w:pPr>
          </w:p>
        </w:tc>
        <w:tc>
          <w:tcPr>
            <w:tcW w:w="735" w:type="dxa"/>
            <w:vMerge w:val="continue"/>
            <w:tcBorders>
              <w:top w:val="nil"/>
              <w:left w:val="nil"/>
            </w:tcBorders>
          </w:tcPr>
          <w:p>
            <w:pPr>
              <w:rPr>
                <w:sz w:val="2"/>
                <w:szCs w:val="2"/>
              </w:rPr>
            </w:pPr>
          </w:p>
        </w:tc>
        <w:tc>
          <w:tcPr>
            <w:tcW w:w="486"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8"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5" w:type="dxa"/>
          </w:tcPr>
          <w:p>
            <w:pPr>
              <w:pStyle w:val="11"/>
              <w:rPr>
                <w:rFonts w:ascii="Times New Roman"/>
                <w:sz w:val="20"/>
              </w:rPr>
            </w:pPr>
          </w:p>
        </w:tc>
        <w:tc>
          <w:tcPr>
            <w:tcW w:w="487" w:type="dxa"/>
          </w:tcPr>
          <w:p>
            <w:pPr>
              <w:pStyle w:val="11"/>
              <w:rPr>
                <w:rFonts w:ascii="Times New Roman"/>
                <w:sz w:val="20"/>
              </w:rPr>
            </w:pPr>
          </w:p>
        </w:tc>
      </w:tr>
    </w:tbl>
    <w:p>
      <w:pPr>
        <w:spacing w:before="0"/>
        <w:ind w:left="320" w:right="0" w:firstLine="0"/>
        <w:jc w:val="left"/>
        <w:rPr>
          <w:sz w:val="21"/>
        </w:rPr>
      </w:pPr>
      <w:r>
        <w:rPr>
          <w:sz w:val="21"/>
        </w:rPr>
        <w:t>注：1.应按各标段实际工程内容填写。</w:t>
      </w:r>
    </w:p>
    <w:p>
      <w:pPr>
        <w:pStyle w:val="10"/>
        <w:numPr>
          <w:ilvl w:val="0"/>
          <w:numId w:val="129"/>
        </w:numPr>
        <w:tabs>
          <w:tab w:val="left" w:pos="952"/>
        </w:tabs>
        <w:spacing w:before="141" w:after="0" w:line="240" w:lineRule="auto"/>
        <w:ind w:left="951" w:right="0" w:hanging="212"/>
        <w:jc w:val="left"/>
        <w:rPr>
          <w:sz w:val="21"/>
        </w:rPr>
      </w:pPr>
      <w:r>
        <w:rPr>
          <w:sz w:val="21"/>
        </w:rPr>
        <w:t>各个项目的进程可用线条的长短来表示。</w:t>
      </w:r>
    </w:p>
    <w:p>
      <w:pPr>
        <w:spacing w:after="0" w:line="240" w:lineRule="auto"/>
        <w:jc w:val="left"/>
        <w:rPr>
          <w:sz w:val="21"/>
        </w:rPr>
        <w:sectPr>
          <w:pgSz w:w="16840" w:h="11910" w:orient="landscape"/>
          <w:pgMar w:top="1180" w:right="780" w:bottom="1080" w:left="1120" w:header="746" w:footer="892" w:gutter="0"/>
          <w:cols w:space="720" w:num="1"/>
        </w:sectPr>
      </w:pPr>
    </w:p>
    <w:p>
      <w:pPr>
        <w:pStyle w:val="4"/>
        <w:tabs>
          <w:tab w:val="left" w:pos="964"/>
        </w:tabs>
        <w:spacing w:before="56"/>
        <w:ind w:left="0" w:right="49"/>
        <w:jc w:val="center"/>
      </w:pPr>
      <w:r>
        <mc:AlternateContent>
          <mc:Choice Requires="wps">
            <w:drawing>
              <wp:anchor distT="0" distB="0" distL="114300" distR="114300" simplePos="0" relativeHeight="251682816" behindDoc="1" locked="0" layoutInCell="1" allowOverlap="1">
                <wp:simplePos x="0" y="0"/>
                <wp:positionH relativeFrom="page">
                  <wp:posOffset>603250</wp:posOffset>
                </wp:positionH>
                <wp:positionV relativeFrom="paragraph">
                  <wp:posOffset>593090</wp:posOffset>
                </wp:positionV>
                <wp:extent cx="840740" cy="753110"/>
                <wp:effectExtent l="0" t="0" r="16510" b="8890"/>
                <wp:wrapNone/>
                <wp:docPr id="9" name="任意多边形 28"/>
                <wp:cNvGraphicFramePr/>
                <a:graphic xmlns:a="http://schemas.openxmlformats.org/drawingml/2006/main">
                  <a:graphicData uri="http://schemas.microsoft.com/office/word/2010/wordprocessingShape">
                    <wps:wsp>
                      <wps:cNvSpPr/>
                      <wps:spPr>
                        <a:xfrm>
                          <a:off x="0" y="0"/>
                          <a:ext cx="840740" cy="753110"/>
                        </a:xfrm>
                        <a:custGeom>
                          <a:avLst/>
                          <a:gdLst/>
                          <a:ahLst/>
                          <a:cxnLst/>
                          <a:pathLst>
                            <a:path w="1324" h="1186">
                              <a:moveTo>
                                <a:pt x="1324" y="1174"/>
                              </a:moveTo>
                              <a:lnTo>
                                <a:pt x="34" y="23"/>
                              </a:lnTo>
                              <a:lnTo>
                                <a:pt x="1317" y="383"/>
                              </a:lnTo>
                              <a:lnTo>
                                <a:pt x="1321" y="369"/>
                              </a:lnTo>
                              <a:lnTo>
                                <a:pt x="7" y="0"/>
                              </a:lnTo>
                              <a:lnTo>
                                <a:pt x="5" y="7"/>
                              </a:lnTo>
                              <a:lnTo>
                                <a:pt x="0" y="13"/>
                              </a:lnTo>
                              <a:lnTo>
                                <a:pt x="1314" y="1186"/>
                              </a:lnTo>
                              <a:lnTo>
                                <a:pt x="1324" y="1174"/>
                              </a:lnTo>
                            </a:path>
                          </a:pathLst>
                        </a:custGeom>
                        <a:solidFill>
                          <a:srgbClr val="000000"/>
                        </a:solidFill>
                        <a:ln>
                          <a:noFill/>
                        </a:ln>
                      </wps:spPr>
                      <wps:bodyPr upright="1"/>
                    </wps:wsp>
                  </a:graphicData>
                </a:graphic>
              </wp:anchor>
            </w:drawing>
          </mc:Choice>
          <mc:Fallback>
            <w:pict>
              <v:shape id="任意多边形 28" o:spid="_x0000_s1026" o:spt="100" style="position:absolute;left:0pt;margin-left:47.5pt;margin-top:46.7pt;height:59.3pt;width:66.2pt;mso-position-horizontal-relative:page;z-index:-251633664;mso-width-relative:page;mso-height-relative:page;" fillcolor="#000000" filled="t" stroked="f" coordsize="1324,1186" o:gfxdata="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HM9yNdkAAAAJAQAADwAAAAAAAAABACAAAAAiAAAA&#10;ZHJzL2Rvd25yZXYueG1sUEsBAhQAFAAAAAgAh07iQCj1dHI/AgAAHAUAAA4AAAAAAAAAAQAgAAAA&#10;KAEAAGRycy9lMm9Eb2MueG1sUEsFBgAAAAAGAAYAWQEAANkFAAAAAA==&#10;" path="m1324,1174l34,23,1317,383,1321,369,7,0,5,7,0,13,1314,1186,1324,1174e">
                <v:fill on="t" focussize="0,0"/>
                <v:stroke on="f"/>
                <v:imagedata o:title=""/>
                <o:lock v:ext="edit" aspectratio="f"/>
              </v:shape>
            </w:pict>
          </mc:Fallback>
        </mc:AlternateContent>
      </w:r>
      <w:bookmarkStart w:id="157" w:name="附表三  工程管理曲线"/>
      <w:bookmarkEnd w:id="157"/>
      <w:r>
        <w:t>附表三</w:t>
      </w:r>
      <w:r>
        <w:tab/>
      </w:r>
      <w:r>
        <w:t>工程管理曲线</w:t>
      </w:r>
    </w:p>
    <w:p>
      <w:pPr>
        <w:pStyle w:val="5"/>
        <w:ind w:left="0"/>
        <w:rPr>
          <w:b/>
          <w:sz w:val="20"/>
        </w:rPr>
      </w:pPr>
    </w:p>
    <w:p>
      <w:pPr>
        <w:pStyle w:val="5"/>
        <w:spacing w:before="1"/>
        <w:ind w:left="0"/>
        <w:rPr>
          <w:b/>
          <w:sz w:val="21"/>
        </w:rPr>
      </w:pPr>
    </w:p>
    <w:tbl>
      <w:tblPr>
        <w:tblStyle w:val="7"/>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4"/>
        <w:gridCol w:w="427"/>
        <w:gridCol w:w="434"/>
        <w:gridCol w:w="435"/>
        <w:gridCol w:w="434"/>
        <w:gridCol w:w="434"/>
        <w:gridCol w:w="432"/>
        <w:gridCol w:w="434"/>
        <w:gridCol w:w="434"/>
        <w:gridCol w:w="434"/>
        <w:gridCol w:w="434"/>
        <w:gridCol w:w="434"/>
        <w:gridCol w:w="434"/>
        <w:gridCol w:w="434"/>
        <w:gridCol w:w="434"/>
        <w:gridCol w:w="434"/>
        <w:gridCol w:w="435"/>
        <w:gridCol w:w="437"/>
        <w:gridCol w:w="435"/>
        <w:gridCol w:w="437"/>
        <w:gridCol w:w="4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324" w:type="dxa"/>
            <w:tcBorders>
              <w:bottom w:val="nil"/>
            </w:tcBorders>
          </w:tcPr>
          <w:p>
            <w:pPr>
              <w:pStyle w:val="11"/>
              <w:spacing w:before="2"/>
              <w:ind w:left="861"/>
              <w:rPr>
                <w:sz w:val="21"/>
              </w:rPr>
            </w:pPr>
            <w:r>
              <w:rPr>
                <w:sz w:val="21"/>
              </w:rPr>
              <w:t>年度</w:t>
            </w:r>
          </w:p>
        </w:tc>
        <w:tc>
          <w:tcPr>
            <w:tcW w:w="5200" w:type="dxa"/>
            <w:gridSpan w:val="12"/>
          </w:tcPr>
          <w:p>
            <w:pPr>
              <w:pStyle w:val="11"/>
              <w:spacing w:before="81"/>
              <w:ind w:left="8"/>
              <w:jc w:val="center"/>
              <w:rPr>
                <w:sz w:val="21"/>
              </w:rPr>
            </w:pPr>
            <w:r>
              <w:rPr>
                <w:w w:val="99"/>
                <w:sz w:val="21"/>
              </w:rPr>
              <w:t>年</w:t>
            </w:r>
          </w:p>
        </w:tc>
        <w:tc>
          <w:tcPr>
            <w:tcW w:w="3483" w:type="dxa"/>
            <w:gridSpan w:val="8"/>
          </w:tcPr>
          <w:p>
            <w:pPr>
              <w:pStyle w:val="11"/>
              <w:spacing w:before="81"/>
              <w:ind w:left="2130"/>
              <w:rPr>
                <w:sz w:val="21"/>
              </w:rPr>
            </w:pPr>
            <w:r>
              <w:rPr>
                <w:w w:val="99"/>
                <w:sz w:val="21"/>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324" w:type="dxa"/>
            <w:vMerge w:val="restart"/>
            <w:tcBorders>
              <w:top w:val="nil"/>
            </w:tcBorders>
          </w:tcPr>
          <w:p>
            <w:pPr>
              <w:pStyle w:val="11"/>
              <w:spacing w:before="3"/>
              <w:ind w:left="861"/>
              <w:rPr>
                <w:sz w:val="21"/>
              </w:rPr>
            </w:pPr>
            <w:r>
              <w:rPr>
                <w:sz w:val="21"/>
              </w:rPr>
              <w:t>季度</w:t>
            </w:r>
          </w:p>
          <w:p>
            <w:pPr>
              <w:pStyle w:val="11"/>
              <w:spacing w:before="7"/>
              <w:ind w:left="2"/>
              <w:rPr>
                <w:sz w:val="21"/>
              </w:rPr>
            </w:pPr>
            <w:r>
              <w:rPr>
                <w:sz w:val="21"/>
              </w:rPr>
              <w:t>进度</w:t>
            </w:r>
          </w:p>
        </w:tc>
        <w:tc>
          <w:tcPr>
            <w:tcW w:w="1296" w:type="dxa"/>
            <w:gridSpan w:val="3"/>
            <w:tcBorders>
              <w:bottom w:val="single" w:color="000000" w:sz="6" w:space="0"/>
            </w:tcBorders>
          </w:tcPr>
          <w:p>
            <w:pPr>
              <w:pStyle w:val="11"/>
              <w:spacing w:before="3"/>
              <w:ind w:left="4"/>
              <w:jc w:val="center"/>
              <w:rPr>
                <w:sz w:val="21"/>
              </w:rPr>
            </w:pPr>
            <w:r>
              <w:rPr>
                <w:w w:val="99"/>
                <w:sz w:val="21"/>
              </w:rPr>
              <w:t>一</w:t>
            </w:r>
          </w:p>
        </w:tc>
        <w:tc>
          <w:tcPr>
            <w:tcW w:w="1300" w:type="dxa"/>
            <w:gridSpan w:val="3"/>
            <w:tcBorders>
              <w:bottom w:val="single" w:color="000000" w:sz="6" w:space="0"/>
            </w:tcBorders>
          </w:tcPr>
          <w:p>
            <w:pPr>
              <w:pStyle w:val="11"/>
              <w:spacing w:before="3"/>
              <w:ind w:left="10"/>
              <w:jc w:val="center"/>
              <w:rPr>
                <w:sz w:val="21"/>
              </w:rPr>
            </w:pPr>
            <w:r>
              <w:rPr>
                <w:w w:val="99"/>
                <w:sz w:val="21"/>
              </w:rPr>
              <w:t>二</w:t>
            </w:r>
          </w:p>
        </w:tc>
        <w:tc>
          <w:tcPr>
            <w:tcW w:w="1302" w:type="dxa"/>
            <w:gridSpan w:val="3"/>
            <w:tcBorders>
              <w:bottom w:val="single" w:color="000000" w:sz="6" w:space="0"/>
            </w:tcBorders>
          </w:tcPr>
          <w:p>
            <w:pPr>
              <w:pStyle w:val="11"/>
              <w:spacing w:before="3"/>
              <w:ind w:left="10"/>
              <w:jc w:val="center"/>
              <w:rPr>
                <w:sz w:val="21"/>
              </w:rPr>
            </w:pPr>
            <w:r>
              <w:rPr>
                <w:w w:val="99"/>
                <w:sz w:val="21"/>
              </w:rPr>
              <w:t>三</w:t>
            </w:r>
          </w:p>
        </w:tc>
        <w:tc>
          <w:tcPr>
            <w:tcW w:w="1302" w:type="dxa"/>
            <w:gridSpan w:val="3"/>
            <w:tcBorders>
              <w:bottom w:val="single" w:color="000000" w:sz="6" w:space="0"/>
            </w:tcBorders>
          </w:tcPr>
          <w:p>
            <w:pPr>
              <w:pStyle w:val="11"/>
              <w:spacing w:before="3"/>
              <w:ind w:left="7"/>
              <w:jc w:val="center"/>
              <w:rPr>
                <w:sz w:val="21"/>
              </w:rPr>
            </w:pPr>
            <w:r>
              <w:rPr>
                <w:w w:val="99"/>
                <w:sz w:val="21"/>
              </w:rPr>
              <w:t>四</w:t>
            </w:r>
          </w:p>
        </w:tc>
        <w:tc>
          <w:tcPr>
            <w:tcW w:w="1302" w:type="dxa"/>
            <w:gridSpan w:val="3"/>
            <w:tcBorders>
              <w:bottom w:val="single" w:color="000000" w:sz="6" w:space="0"/>
            </w:tcBorders>
          </w:tcPr>
          <w:p>
            <w:pPr>
              <w:pStyle w:val="11"/>
              <w:spacing w:before="3"/>
              <w:ind w:left="5"/>
              <w:jc w:val="center"/>
              <w:rPr>
                <w:sz w:val="21"/>
              </w:rPr>
            </w:pPr>
            <w:r>
              <w:rPr>
                <w:w w:val="99"/>
                <w:sz w:val="21"/>
              </w:rPr>
              <w:t>一</w:t>
            </w:r>
          </w:p>
        </w:tc>
        <w:tc>
          <w:tcPr>
            <w:tcW w:w="1307" w:type="dxa"/>
            <w:gridSpan w:val="3"/>
            <w:tcBorders>
              <w:bottom w:val="single" w:color="000000" w:sz="6" w:space="0"/>
            </w:tcBorders>
          </w:tcPr>
          <w:p>
            <w:pPr>
              <w:pStyle w:val="11"/>
              <w:spacing w:before="3"/>
              <w:jc w:val="center"/>
              <w:rPr>
                <w:sz w:val="21"/>
              </w:rPr>
            </w:pPr>
            <w:r>
              <w:rPr>
                <w:w w:val="99"/>
                <w:sz w:val="21"/>
              </w:rPr>
              <w:t>二</w:t>
            </w:r>
          </w:p>
        </w:tc>
        <w:tc>
          <w:tcPr>
            <w:tcW w:w="874" w:type="dxa"/>
            <w:gridSpan w:val="2"/>
            <w:tcBorders>
              <w:bottom w:val="single" w:color="000000" w:sz="6" w:space="0"/>
            </w:tcBorders>
          </w:tcPr>
          <w:p>
            <w:pPr>
              <w:pStyle w:val="11"/>
              <w:spacing w:line="248" w:lineRule="exact"/>
              <w:ind w:left="320"/>
              <w:rPr>
                <w:sz w:val="21"/>
              </w:rPr>
            </w:pP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324" w:type="dxa"/>
            <w:vMerge w:val="continue"/>
            <w:tcBorders>
              <w:top w:val="nil"/>
            </w:tcBorders>
          </w:tcPr>
          <w:p>
            <w:pPr>
              <w:rPr>
                <w:sz w:val="2"/>
                <w:szCs w:val="2"/>
              </w:rPr>
            </w:pPr>
          </w:p>
        </w:tc>
        <w:tc>
          <w:tcPr>
            <w:tcW w:w="427" w:type="dxa"/>
            <w:tcBorders>
              <w:top w:val="single" w:color="000000" w:sz="6" w:space="0"/>
              <w:right w:val="nil"/>
            </w:tcBorders>
          </w:tcPr>
          <w:p>
            <w:pPr>
              <w:pStyle w:val="11"/>
              <w:spacing w:before="105"/>
              <w:ind w:left="6"/>
              <w:jc w:val="center"/>
              <w:rPr>
                <w:rFonts w:ascii="Times New Roman"/>
                <w:sz w:val="21"/>
              </w:rPr>
            </w:pPr>
            <w:r>
              <w:rPr>
                <w:rFonts w:ascii="Times New Roman"/>
                <w:w w:val="99"/>
                <w:sz w:val="21"/>
              </w:rPr>
              <w:t>1</w:t>
            </w:r>
          </w:p>
        </w:tc>
        <w:tc>
          <w:tcPr>
            <w:tcW w:w="434" w:type="dxa"/>
            <w:tcBorders>
              <w:top w:val="single" w:color="000000" w:sz="6" w:space="0"/>
              <w:left w:val="nil"/>
              <w:right w:val="nil"/>
            </w:tcBorders>
          </w:tcPr>
          <w:p>
            <w:pPr>
              <w:pStyle w:val="11"/>
              <w:spacing w:before="105"/>
              <w:ind w:left="14"/>
              <w:jc w:val="center"/>
              <w:rPr>
                <w:rFonts w:ascii="Times New Roman"/>
                <w:sz w:val="21"/>
              </w:rPr>
            </w:pPr>
            <w:r>
              <w:rPr>
                <w:rFonts w:ascii="Times New Roman"/>
                <w:w w:val="99"/>
                <w:sz w:val="21"/>
              </w:rPr>
              <w:t>2</w:t>
            </w:r>
          </w:p>
        </w:tc>
        <w:tc>
          <w:tcPr>
            <w:tcW w:w="435" w:type="dxa"/>
            <w:tcBorders>
              <w:top w:val="single" w:color="000000" w:sz="6" w:space="0"/>
              <w:left w:val="nil"/>
            </w:tcBorders>
          </w:tcPr>
          <w:p>
            <w:pPr>
              <w:pStyle w:val="11"/>
              <w:spacing w:before="105"/>
              <w:ind w:left="14"/>
              <w:jc w:val="center"/>
              <w:rPr>
                <w:rFonts w:ascii="Times New Roman"/>
                <w:sz w:val="21"/>
              </w:rPr>
            </w:pPr>
            <w:r>
              <w:rPr>
                <w:rFonts w:ascii="Times New Roman"/>
                <w:w w:val="99"/>
                <w:sz w:val="21"/>
              </w:rPr>
              <w:t>3</w:t>
            </w:r>
          </w:p>
        </w:tc>
        <w:tc>
          <w:tcPr>
            <w:tcW w:w="434" w:type="dxa"/>
            <w:tcBorders>
              <w:top w:val="single" w:color="000000" w:sz="6" w:space="0"/>
              <w:right w:val="nil"/>
            </w:tcBorders>
          </w:tcPr>
          <w:p>
            <w:pPr>
              <w:pStyle w:val="11"/>
              <w:spacing w:before="105"/>
              <w:ind w:left="8"/>
              <w:jc w:val="center"/>
              <w:rPr>
                <w:rFonts w:ascii="Times New Roman"/>
                <w:sz w:val="21"/>
              </w:rPr>
            </w:pPr>
            <w:r>
              <w:rPr>
                <w:rFonts w:ascii="Times New Roman"/>
                <w:w w:val="99"/>
                <w:sz w:val="21"/>
              </w:rPr>
              <w:t>4</w:t>
            </w:r>
          </w:p>
        </w:tc>
        <w:tc>
          <w:tcPr>
            <w:tcW w:w="434" w:type="dxa"/>
            <w:tcBorders>
              <w:top w:val="single" w:color="000000" w:sz="6" w:space="0"/>
              <w:left w:val="nil"/>
              <w:right w:val="nil"/>
            </w:tcBorders>
          </w:tcPr>
          <w:p>
            <w:pPr>
              <w:pStyle w:val="11"/>
              <w:spacing w:before="105"/>
              <w:ind w:left="9"/>
              <w:jc w:val="center"/>
              <w:rPr>
                <w:rFonts w:ascii="Times New Roman"/>
                <w:sz w:val="21"/>
              </w:rPr>
            </w:pPr>
            <w:r>
              <w:rPr>
                <w:rFonts w:ascii="Times New Roman"/>
                <w:w w:val="99"/>
                <w:sz w:val="21"/>
              </w:rPr>
              <w:t>5</w:t>
            </w:r>
          </w:p>
        </w:tc>
        <w:tc>
          <w:tcPr>
            <w:tcW w:w="432" w:type="dxa"/>
            <w:tcBorders>
              <w:top w:val="single" w:color="000000" w:sz="6" w:space="0"/>
              <w:left w:val="nil"/>
            </w:tcBorders>
          </w:tcPr>
          <w:p>
            <w:pPr>
              <w:pStyle w:val="11"/>
              <w:spacing w:before="105"/>
              <w:ind w:left="12"/>
              <w:jc w:val="center"/>
              <w:rPr>
                <w:rFonts w:ascii="Times New Roman"/>
                <w:sz w:val="21"/>
              </w:rPr>
            </w:pPr>
            <w:r>
              <w:rPr>
                <w:rFonts w:ascii="Times New Roman"/>
                <w:w w:val="99"/>
                <w:sz w:val="21"/>
              </w:rPr>
              <w:t>6</w:t>
            </w:r>
          </w:p>
        </w:tc>
        <w:tc>
          <w:tcPr>
            <w:tcW w:w="434" w:type="dxa"/>
            <w:tcBorders>
              <w:top w:val="single" w:color="000000" w:sz="6" w:space="0"/>
              <w:right w:val="nil"/>
            </w:tcBorders>
          </w:tcPr>
          <w:p>
            <w:pPr>
              <w:pStyle w:val="11"/>
              <w:spacing w:before="105"/>
              <w:ind w:left="5"/>
              <w:jc w:val="center"/>
              <w:rPr>
                <w:rFonts w:ascii="Times New Roman"/>
                <w:sz w:val="21"/>
              </w:rPr>
            </w:pPr>
            <w:r>
              <w:rPr>
                <w:rFonts w:ascii="Times New Roman"/>
                <w:w w:val="99"/>
                <w:sz w:val="21"/>
              </w:rPr>
              <w:t>7</w:t>
            </w:r>
          </w:p>
        </w:tc>
        <w:tc>
          <w:tcPr>
            <w:tcW w:w="434" w:type="dxa"/>
            <w:tcBorders>
              <w:top w:val="single" w:color="000000" w:sz="6" w:space="0"/>
              <w:left w:val="nil"/>
              <w:right w:val="nil"/>
            </w:tcBorders>
          </w:tcPr>
          <w:p>
            <w:pPr>
              <w:pStyle w:val="11"/>
              <w:spacing w:before="105"/>
              <w:ind w:left="6"/>
              <w:jc w:val="center"/>
              <w:rPr>
                <w:rFonts w:ascii="Times New Roman"/>
                <w:sz w:val="21"/>
              </w:rPr>
            </w:pPr>
            <w:r>
              <w:rPr>
                <w:rFonts w:ascii="Times New Roman"/>
                <w:w w:val="99"/>
                <w:sz w:val="21"/>
              </w:rPr>
              <w:t>8</w:t>
            </w:r>
          </w:p>
        </w:tc>
        <w:tc>
          <w:tcPr>
            <w:tcW w:w="434" w:type="dxa"/>
            <w:tcBorders>
              <w:top w:val="single" w:color="000000" w:sz="6" w:space="0"/>
              <w:left w:val="nil"/>
            </w:tcBorders>
          </w:tcPr>
          <w:p>
            <w:pPr>
              <w:pStyle w:val="11"/>
              <w:spacing w:before="105"/>
              <w:ind w:left="12"/>
              <w:jc w:val="center"/>
              <w:rPr>
                <w:rFonts w:ascii="Times New Roman"/>
                <w:sz w:val="21"/>
              </w:rPr>
            </w:pPr>
            <w:r>
              <w:rPr>
                <w:rFonts w:ascii="Times New Roman"/>
                <w:w w:val="99"/>
                <w:sz w:val="21"/>
              </w:rPr>
              <w:t>9</w:t>
            </w:r>
          </w:p>
        </w:tc>
        <w:tc>
          <w:tcPr>
            <w:tcW w:w="434" w:type="dxa"/>
            <w:tcBorders>
              <w:top w:val="single" w:color="000000" w:sz="6" w:space="0"/>
              <w:right w:val="nil"/>
            </w:tcBorders>
          </w:tcPr>
          <w:p>
            <w:pPr>
              <w:pStyle w:val="11"/>
              <w:spacing w:before="105"/>
              <w:ind w:left="158"/>
              <w:rPr>
                <w:rFonts w:ascii="Times New Roman"/>
                <w:sz w:val="21"/>
              </w:rPr>
            </w:pPr>
            <w:r>
              <w:rPr>
                <w:rFonts w:ascii="Times New Roman"/>
                <w:sz w:val="21"/>
              </w:rPr>
              <w:t>10</w:t>
            </w:r>
          </w:p>
        </w:tc>
        <w:tc>
          <w:tcPr>
            <w:tcW w:w="434" w:type="dxa"/>
            <w:tcBorders>
              <w:top w:val="single" w:color="000000" w:sz="6" w:space="0"/>
              <w:left w:val="nil"/>
              <w:right w:val="nil"/>
            </w:tcBorders>
          </w:tcPr>
          <w:p>
            <w:pPr>
              <w:pStyle w:val="11"/>
              <w:spacing w:before="105"/>
              <w:ind w:left="171"/>
              <w:rPr>
                <w:rFonts w:ascii="Times New Roman"/>
                <w:sz w:val="21"/>
              </w:rPr>
            </w:pPr>
            <w:r>
              <w:rPr>
                <w:rFonts w:ascii="Times New Roman"/>
                <w:sz w:val="21"/>
              </w:rPr>
              <w:t>11</w:t>
            </w:r>
          </w:p>
        </w:tc>
        <w:tc>
          <w:tcPr>
            <w:tcW w:w="434" w:type="dxa"/>
            <w:tcBorders>
              <w:top w:val="single" w:color="000000" w:sz="6" w:space="0"/>
              <w:left w:val="nil"/>
            </w:tcBorders>
          </w:tcPr>
          <w:p>
            <w:pPr>
              <w:pStyle w:val="11"/>
              <w:spacing w:before="105"/>
              <w:ind w:left="162"/>
              <w:rPr>
                <w:rFonts w:ascii="Times New Roman"/>
                <w:sz w:val="21"/>
              </w:rPr>
            </w:pPr>
            <w:r>
              <w:rPr>
                <w:rFonts w:ascii="Times New Roman"/>
                <w:sz w:val="21"/>
              </w:rPr>
              <w:t>12</w:t>
            </w:r>
          </w:p>
        </w:tc>
        <w:tc>
          <w:tcPr>
            <w:tcW w:w="434" w:type="dxa"/>
            <w:tcBorders>
              <w:top w:val="single" w:color="000000" w:sz="6" w:space="0"/>
              <w:right w:val="nil"/>
            </w:tcBorders>
          </w:tcPr>
          <w:p>
            <w:pPr>
              <w:pStyle w:val="11"/>
              <w:spacing w:before="105"/>
              <w:jc w:val="center"/>
              <w:rPr>
                <w:rFonts w:ascii="Times New Roman"/>
                <w:sz w:val="21"/>
              </w:rPr>
            </w:pPr>
            <w:r>
              <w:rPr>
                <w:rFonts w:ascii="Times New Roman"/>
                <w:w w:val="99"/>
                <w:sz w:val="21"/>
              </w:rPr>
              <w:t>1</w:t>
            </w:r>
          </w:p>
        </w:tc>
        <w:tc>
          <w:tcPr>
            <w:tcW w:w="434" w:type="dxa"/>
            <w:tcBorders>
              <w:top w:val="single" w:color="000000" w:sz="6" w:space="0"/>
              <w:left w:val="nil"/>
              <w:right w:val="nil"/>
            </w:tcBorders>
          </w:tcPr>
          <w:p>
            <w:pPr>
              <w:pStyle w:val="11"/>
              <w:spacing w:before="105"/>
              <w:ind w:left="1"/>
              <w:jc w:val="center"/>
              <w:rPr>
                <w:rFonts w:ascii="Times New Roman"/>
                <w:sz w:val="21"/>
              </w:rPr>
            </w:pPr>
            <w:r>
              <w:rPr>
                <w:rFonts w:ascii="Times New Roman"/>
                <w:w w:val="99"/>
                <w:sz w:val="21"/>
              </w:rPr>
              <w:t>2</w:t>
            </w:r>
          </w:p>
        </w:tc>
        <w:tc>
          <w:tcPr>
            <w:tcW w:w="434" w:type="dxa"/>
            <w:tcBorders>
              <w:top w:val="single" w:color="000000" w:sz="6" w:space="0"/>
              <w:left w:val="nil"/>
            </w:tcBorders>
          </w:tcPr>
          <w:p>
            <w:pPr>
              <w:pStyle w:val="11"/>
              <w:spacing w:before="105"/>
              <w:ind w:left="7"/>
              <w:jc w:val="center"/>
              <w:rPr>
                <w:rFonts w:ascii="Times New Roman"/>
                <w:sz w:val="21"/>
              </w:rPr>
            </w:pPr>
            <w:r>
              <w:rPr>
                <w:rFonts w:ascii="Times New Roman"/>
                <w:w w:val="99"/>
                <w:sz w:val="21"/>
              </w:rPr>
              <w:t>3</w:t>
            </w:r>
          </w:p>
        </w:tc>
        <w:tc>
          <w:tcPr>
            <w:tcW w:w="435" w:type="dxa"/>
            <w:tcBorders>
              <w:top w:val="single" w:color="000000" w:sz="6" w:space="0"/>
              <w:right w:val="nil"/>
            </w:tcBorders>
          </w:tcPr>
          <w:p>
            <w:pPr>
              <w:pStyle w:val="11"/>
              <w:spacing w:before="105"/>
              <w:jc w:val="center"/>
              <w:rPr>
                <w:rFonts w:ascii="Times New Roman"/>
                <w:sz w:val="21"/>
              </w:rPr>
            </w:pPr>
            <w:r>
              <w:rPr>
                <w:rFonts w:ascii="Times New Roman"/>
                <w:w w:val="99"/>
                <w:sz w:val="21"/>
              </w:rPr>
              <w:t>4</w:t>
            </w:r>
          </w:p>
        </w:tc>
        <w:tc>
          <w:tcPr>
            <w:tcW w:w="437" w:type="dxa"/>
            <w:tcBorders>
              <w:top w:val="single" w:color="000000" w:sz="6" w:space="0"/>
              <w:left w:val="nil"/>
              <w:right w:val="nil"/>
            </w:tcBorders>
          </w:tcPr>
          <w:p>
            <w:pPr>
              <w:pStyle w:val="11"/>
              <w:spacing w:before="105"/>
              <w:jc w:val="center"/>
              <w:rPr>
                <w:rFonts w:ascii="Times New Roman"/>
                <w:sz w:val="21"/>
              </w:rPr>
            </w:pPr>
            <w:r>
              <w:rPr>
                <w:rFonts w:ascii="Times New Roman"/>
                <w:w w:val="99"/>
                <w:sz w:val="21"/>
              </w:rPr>
              <w:t>5</w:t>
            </w:r>
          </w:p>
        </w:tc>
        <w:tc>
          <w:tcPr>
            <w:tcW w:w="435" w:type="dxa"/>
            <w:tcBorders>
              <w:top w:val="single" w:color="000000" w:sz="6" w:space="0"/>
              <w:left w:val="nil"/>
            </w:tcBorders>
          </w:tcPr>
          <w:p>
            <w:pPr>
              <w:pStyle w:val="11"/>
              <w:spacing w:before="105"/>
              <w:ind w:left="5"/>
              <w:jc w:val="center"/>
              <w:rPr>
                <w:rFonts w:ascii="Times New Roman"/>
                <w:sz w:val="21"/>
              </w:rPr>
            </w:pPr>
            <w:r>
              <w:rPr>
                <w:rFonts w:ascii="Times New Roman"/>
                <w:w w:val="99"/>
                <w:sz w:val="21"/>
              </w:rPr>
              <w:t>6</w:t>
            </w:r>
          </w:p>
        </w:tc>
        <w:tc>
          <w:tcPr>
            <w:tcW w:w="874" w:type="dxa"/>
            <w:gridSpan w:val="2"/>
            <w:tcBorders>
              <w:top w:val="single" w:color="000000" w:sz="6" w:space="0"/>
            </w:tcBorders>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restart"/>
          </w:tcPr>
          <w:p>
            <w:pPr>
              <w:pStyle w:val="11"/>
              <w:spacing w:line="222" w:lineRule="exact"/>
              <w:ind w:right="26"/>
              <w:jc w:val="right"/>
              <w:rPr>
                <w:rFonts w:ascii="Times New Roman"/>
                <w:sz w:val="21"/>
              </w:rPr>
            </w:pPr>
            <w:r>
              <w:rPr>
                <w:rFonts w:ascii="Times New Roman"/>
                <w:sz w:val="21"/>
              </w:rPr>
              <w:t>100</w:t>
            </w:r>
          </w:p>
          <w:p>
            <w:pPr>
              <w:pStyle w:val="11"/>
              <w:rPr>
                <w:b/>
                <w:sz w:val="21"/>
              </w:rPr>
            </w:pPr>
          </w:p>
          <w:p>
            <w:pPr>
              <w:pStyle w:val="11"/>
              <w:ind w:right="79"/>
              <w:jc w:val="right"/>
              <w:rPr>
                <w:rFonts w:ascii="Times New Roman"/>
                <w:sz w:val="21"/>
              </w:rPr>
            </w:pPr>
            <w:r>
              <w:rPr>
                <w:rFonts w:ascii="Times New Roman"/>
                <w:sz w:val="21"/>
              </w:rPr>
              <w:t>90</w:t>
            </w:r>
          </w:p>
          <w:p>
            <w:pPr>
              <w:pStyle w:val="11"/>
              <w:spacing w:before="3"/>
              <w:rPr>
                <w:b/>
                <w:sz w:val="21"/>
              </w:rPr>
            </w:pPr>
          </w:p>
          <w:p>
            <w:pPr>
              <w:pStyle w:val="11"/>
              <w:spacing w:line="209" w:lineRule="exact"/>
              <w:ind w:right="79"/>
              <w:jc w:val="right"/>
              <w:rPr>
                <w:rFonts w:ascii="Times New Roman"/>
                <w:sz w:val="21"/>
              </w:rPr>
            </w:pPr>
            <w:r>
              <w:rPr>
                <w:rFonts w:ascii="Times New Roman"/>
                <w:sz w:val="21"/>
              </w:rPr>
              <w:t>80</w:t>
            </w:r>
          </w:p>
          <w:p>
            <w:pPr>
              <w:pStyle w:val="11"/>
              <w:spacing w:line="236" w:lineRule="exact"/>
              <w:ind w:left="333"/>
              <w:rPr>
                <w:sz w:val="21"/>
              </w:rPr>
            </w:pPr>
            <w:r>
              <w:rPr>
                <w:w w:val="99"/>
                <w:sz w:val="21"/>
              </w:rPr>
              <w:t>工</w:t>
            </w:r>
          </w:p>
          <w:p>
            <w:pPr>
              <w:pStyle w:val="11"/>
              <w:tabs>
                <w:tab w:val="right" w:pos="1232"/>
              </w:tabs>
              <w:spacing w:before="5" w:line="289" w:lineRule="exact"/>
              <w:ind w:left="333"/>
              <w:rPr>
                <w:rFonts w:ascii="Times New Roman" w:eastAsia="Times New Roman"/>
                <w:sz w:val="21"/>
              </w:rPr>
            </w:pPr>
            <w:r>
              <w:rPr>
                <w:sz w:val="21"/>
              </w:rPr>
              <w:t>程</w:t>
            </w:r>
            <w:r>
              <w:rPr>
                <w:sz w:val="21"/>
              </w:rPr>
              <w:tab/>
            </w:r>
            <w:r>
              <w:rPr>
                <w:rFonts w:ascii="Times New Roman" w:eastAsia="Times New Roman"/>
                <w:position w:val="-4"/>
                <w:sz w:val="21"/>
              </w:rPr>
              <w:t>70</w:t>
            </w:r>
          </w:p>
          <w:p>
            <w:pPr>
              <w:pStyle w:val="11"/>
              <w:spacing w:line="253" w:lineRule="exact"/>
              <w:ind w:left="333"/>
              <w:rPr>
                <w:sz w:val="21"/>
              </w:rPr>
            </w:pPr>
            <w:r>
              <w:rPr>
                <w:w w:val="99"/>
                <w:sz w:val="21"/>
              </w:rPr>
              <w:t>完</w:t>
            </w:r>
          </w:p>
          <w:p>
            <w:pPr>
              <w:pStyle w:val="11"/>
              <w:tabs>
                <w:tab w:val="right" w:pos="898"/>
              </w:tabs>
              <w:spacing w:before="9"/>
              <w:ind w:right="79"/>
              <w:jc w:val="right"/>
              <w:rPr>
                <w:rFonts w:ascii="Times New Roman" w:eastAsia="Times New Roman"/>
                <w:sz w:val="21"/>
              </w:rPr>
            </w:pPr>
            <w:r>
              <w:rPr>
                <w:position w:val="1"/>
                <w:sz w:val="21"/>
              </w:rPr>
              <w:t>成</w:t>
            </w:r>
            <w:r>
              <w:rPr>
                <w:position w:val="1"/>
                <w:sz w:val="21"/>
              </w:rPr>
              <w:tab/>
            </w:r>
            <w:r>
              <w:rPr>
                <w:rFonts w:ascii="Times New Roman" w:eastAsia="Times New Roman"/>
                <w:sz w:val="21"/>
              </w:rPr>
              <w:t>60</w:t>
            </w:r>
          </w:p>
          <w:p>
            <w:pPr>
              <w:pStyle w:val="11"/>
              <w:spacing w:before="3" w:line="266" w:lineRule="exact"/>
              <w:ind w:left="333"/>
              <w:rPr>
                <w:sz w:val="21"/>
              </w:rPr>
            </w:pPr>
            <w:r>
              <w:rPr>
                <w:w w:val="99"/>
                <w:sz w:val="21"/>
              </w:rPr>
              <w:t>的</w:t>
            </w:r>
          </w:p>
          <w:p>
            <w:pPr>
              <w:pStyle w:val="11"/>
              <w:tabs>
                <w:tab w:val="right" w:pos="1232"/>
              </w:tabs>
              <w:spacing w:line="282" w:lineRule="exact"/>
              <w:ind w:left="333"/>
              <w:rPr>
                <w:rFonts w:ascii="Times New Roman" w:eastAsia="Times New Roman"/>
                <w:sz w:val="21"/>
              </w:rPr>
            </w:pPr>
            <w:r>
              <w:rPr>
                <w:position w:val="-2"/>
                <w:sz w:val="21"/>
              </w:rPr>
              <w:t>百</w:t>
            </w:r>
            <w:r>
              <w:rPr>
                <w:position w:val="-2"/>
                <w:sz w:val="21"/>
              </w:rPr>
              <w:tab/>
            </w:r>
            <w:r>
              <w:rPr>
                <w:rFonts w:ascii="Times New Roman" w:eastAsia="Times New Roman"/>
                <w:sz w:val="21"/>
              </w:rPr>
              <w:t>50</w:t>
            </w:r>
          </w:p>
          <w:p>
            <w:pPr>
              <w:pStyle w:val="11"/>
              <w:spacing w:before="1" w:line="248" w:lineRule="exact"/>
              <w:ind w:left="333"/>
              <w:rPr>
                <w:sz w:val="21"/>
              </w:rPr>
            </w:pPr>
            <w:r>
              <w:rPr>
                <w:w w:val="99"/>
                <w:sz w:val="21"/>
              </w:rPr>
              <w:t>分</w:t>
            </w:r>
          </w:p>
          <w:p>
            <w:pPr>
              <w:pStyle w:val="11"/>
              <w:tabs>
                <w:tab w:val="right" w:pos="1232"/>
              </w:tabs>
              <w:spacing w:before="4" w:line="199" w:lineRule="auto"/>
              <w:ind w:left="333"/>
              <w:rPr>
                <w:rFonts w:ascii="Times New Roman" w:eastAsia="Times New Roman"/>
                <w:sz w:val="21"/>
              </w:rPr>
            </w:pPr>
            <w:r>
              <w:rPr>
                <w:position w:val="-5"/>
                <w:sz w:val="21"/>
              </w:rPr>
              <w:t>比</w:t>
            </w:r>
            <w:r>
              <w:rPr>
                <w:position w:val="-5"/>
                <w:sz w:val="21"/>
              </w:rPr>
              <w:tab/>
            </w:r>
            <w:r>
              <w:rPr>
                <w:rFonts w:ascii="Times New Roman" w:eastAsia="Times New Roman"/>
                <w:sz w:val="21"/>
              </w:rPr>
              <w:t>40</w:t>
            </w:r>
          </w:p>
          <w:p>
            <w:pPr>
              <w:pStyle w:val="11"/>
              <w:spacing w:before="32" w:line="227" w:lineRule="exact"/>
              <w:ind w:left="218"/>
              <w:rPr>
                <w:sz w:val="21"/>
              </w:rPr>
            </w:pPr>
            <w:r>
              <w:rPr>
                <w:sz w:val="21"/>
              </w:rPr>
              <w:t>（</w:t>
            </w:r>
            <w:r>
              <w:rPr>
                <w:rFonts w:ascii="Times New Roman" w:eastAsia="Times New Roman"/>
                <w:sz w:val="21"/>
              </w:rPr>
              <w:t>%</w:t>
            </w:r>
            <w:r>
              <w:rPr>
                <w:sz w:val="21"/>
              </w:rPr>
              <w:t>）</w:t>
            </w:r>
          </w:p>
          <w:p>
            <w:pPr>
              <w:pStyle w:val="11"/>
              <w:spacing w:line="199" w:lineRule="exact"/>
              <w:ind w:right="79"/>
              <w:jc w:val="right"/>
              <w:rPr>
                <w:rFonts w:ascii="Times New Roman"/>
                <w:sz w:val="21"/>
              </w:rPr>
            </w:pPr>
            <w:r>
              <w:rPr>
                <w:rFonts w:ascii="Times New Roman"/>
                <w:sz w:val="21"/>
              </w:rPr>
              <w:t>30</w:t>
            </w:r>
          </w:p>
          <w:p>
            <w:pPr>
              <w:pStyle w:val="11"/>
              <w:spacing w:before="11"/>
              <w:rPr>
                <w:b/>
                <w:sz w:val="20"/>
              </w:rPr>
            </w:pPr>
          </w:p>
          <w:p>
            <w:pPr>
              <w:pStyle w:val="11"/>
              <w:spacing w:before="1"/>
              <w:ind w:right="79"/>
              <w:jc w:val="right"/>
              <w:rPr>
                <w:rFonts w:ascii="Times New Roman"/>
                <w:sz w:val="21"/>
              </w:rPr>
            </w:pPr>
            <w:r>
              <w:rPr>
                <w:rFonts w:ascii="Times New Roman"/>
                <w:sz w:val="21"/>
              </w:rPr>
              <w:t>20</w:t>
            </w:r>
          </w:p>
          <w:p>
            <w:pPr>
              <w:pStyle w:val="11"/>
              <w:spacing w:before="5"/>
              <w:rPr>
                <w:b/>
                <w:sz w:val="21"/>
              </w:rPr>
            </w:pPr>
          </w:p>
          <w:p>
            <w:pPr>
              <w:pStyle w:val="11"/>
              <w:ind w:right="79"/>
              <w:jc w:val="right"/>
              <w:rPr>
                <w:rFonts w:ascii="Times New Roman"/>
                <w:sz w:val="21"/>
              </w:rPr>
            </w:pPr>
            <w:r>
              <w:rPr>
                <w:rFonts w:ascii="Times New Roman"/>
                <w:sz w:val="21"/>
              </w:rPr>
              <w:t>10</w:t>
            </w: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1324" w:type="dxa"/>
            <w:vMerge w:val="continue"/>
            <w:tcBorders>
              <w:top w:val="nil"/>
            </w:tcBorders>
          </w:tcPr>
          <w:p>
            <w:pPr>
              <w:rPr>
                <w:sz w:val="2"/>
                <w:szCs w:val="2"/>
              </w:rPr>
            </w:pPr>
          </w:p>
        </w:tc>
        <w:tc>
          <w:tcPr>
            <w:tcW w:w="427"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2"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4"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5" w:type="dxa"/>
          </w:tcPr>
          <w:p>
            <w:pPr>
              <w:pStyle w:val="11"/>
              <w:rPr>
                <w:rFonts w:ascii="Times New Roman"/>
                <w:sz w:val="18"/>
              </w:rPr>
            </w:pPr>
          </w:p>
        </w:tc>
        <w:tc>
          <w:tcPr>
            <w:tcW w:w="437" w:type="dxa"/>
          </w:tcPr>
          <w:p>
            <w:pPr>
              <w:pStyle w:val="11"/>
              <w:rPr>
                <w:rFonts w:ascii="Times New Roman"/>
                <w:sz w:val="18"/>
              </w:rPr>
            </w:pPr>
          </w:p>
        </w:tc>
        <w:tc>
          <w:tcPr>
            <w:tcW w:w="437"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324" w:type="dxa"/>
            <w:vMerge w:val="continue"/>
            <w:tcBorders>
              <w:top w:val="nil"/>
            </w:tcBorders>
          </w:tcPr>
          <w:p>
            <w:pPr>
              <w:rPr>
                <w:sz w:val="2"/>
                <w:szCs w:val="2"/>
              </w:rPr>
            </w:pPr>
          </w:p>
        </w:tc>
        <w:tc>
          <w:tcPr>
            <w:tcW w:w="427"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2"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4"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5" w:type="dxa"/>
          </w:tcPr>
          <w:p>
            <w:pPr>
              <w:pStyle w:val="11"/>
              <w:rPr>
                <w:rFonts w:ascii="Times New Roman"/>
                <w:sz w:val="16"/>
              </w:rPr>
            </w:pPr>
          </w:p>
        </w:tc>
        <w:tc>
          <w:tcPr>
            <w:tcW w:w="437" w:type="dxa"/>
          </w:tcPr>
          <w:p>
            <w:pPr>
              <w:pStyle w:val="11"/>
              <w:rPr>
                <w:rFonts w:ascii="Times New Roman"/>
                <w:sz w:val="16"/>
              </w:rPr>
            </w:pPr>
          </w:p>
        </w:tc>
        <w:tc>
          <w:tcPr>
            <w:tcW w:w="437" w:type="dxa"/>
          </w:tcPr>
          <w:p>
            <w:pPr>
              <w:pStyle w:val="11"/>
              <w:rPr>
                <w:rFonts w:ascii="Times New Roman"/>
                <w:sz w:val="16"/>
              </w:rPr>
            </w:pPr>
          </w:p>
        </w:tc>
      </w:tr>
    </w:tbl>
    <w:p>
      <w:pPr>
        <w:tabs>
          <w:tab w:val="left" w:pos="2243"/>
          <w:tab w:val="left" w:pos="3083"/>
          <w:tab w:val="left" w:pos="4027"/>
          <w:tab w:val="left" w:pos="4763"/>
          <w:tab w:val="left" w:pos="5707"/>
          <w:tab w:val="left" w:pos="6547"/>
          <w:tab w:val="left" w:pos="7387"/>
          <w:tab w:val="left" w:pos="8332"/>
          <w:tab w:val="left" w:pos="9172"/>
          <w:tab w:val="left" w:pos="9803"/>
        </w:tabs>
        <w:spacing w:before="0" w:line="241" w:lineRule="exact"/>
        <w:ind w:left="1507" w:right="0" w:firstLine="0"/>
        <w:jc w:val="left"/>
        <w:rPr>
          <w:rFonts w:ascii="Times New Roman"/>
          <w:sz w:val="21"/>
        </w:rPr>
      </w:pPr>
      <w:r>
        <w:rPr>
          <w:rFonts w:ascii="Times New Roman"/>
          <w:sz w:val="21"/>
        </w:rPr>
        <w:t>0</w:t>
      </w:r>
      <w:r>
        <w:rPr>
          <w:rFonts w:ascii="Times New Roman"/>
          <w:sz w:val="21"/>
        </w:rPr>
        <w:tab/>
      </w:r>
      <w:r>
        <w:rPr>
          <w:rFonts w:ascii="Times New Roman"/>
          <w:sz w:val="21"/>
        </w:rPr>
        <w:t>10</w:t>
      </w:r>
      <w:r>
        <w:rPr>
          <w:rFonts w:ascii="Times New Roman"/>
          <w:sz w:val="21"/>
        </w:rPr>
        <w:tab/>
      </w:r>
      <w:r>
        <w:rPr>
          <w:rFonts w:ascii="Times New Roman"/>
          <w:sz w:val="21"/>
        </w:rPr>
        <w:t>20</w:t>
      </w:r>
      <w:r>
        <w:rPr>
          <w:rFonts w:ascii="Times New Roman"/>
          <w:sz w:val="21"/>
        </w:rPr>
        <w:tab/>
      </w:r>
      <w:r>
        <w:rPr>
          <w:rFonts w:ascii="Times New Roman"/>
          <w:sz w:val="21"/>
        </w:rPr>
        <w:t>30</w:t>
      </w:r>
      <w:r>
        <w:rPr>
          <w:rFonts w:ascii="Times New Roman"/>
          <w:sz w:val="21"/>
        </w:rPr>
        <w:tab/>
      </w:r>
      <w:r>
        <w:rPr>
          <w:rFonts w:ascii="Times New Roman"/>
          <w:sz w:val="21"/>
        </w:rPr>
        <w:t>40</w:t>
      </w:r>
      <w:r>
        <w:rPr>
          <w:rFonts w:ascii="Times New Roman"/>
          <w:sz w:val="21"/>
        </w:rPr>
        <w:tab/>
      </w:r>
      <w:r>
        <w:rPr>
          <w:rFonts w:ascii="Times New Roman"/>
          <w:sz w:val="21"/>
        </w:rPr>
        <w:t>50</w:t>
      </w:r>
      <w:r>
        <w:rPr>
          <w:rFonts w:ascii="Times New Roman"/>
          <w:sz w:val="21"/>
        </w:rPr>
        <w:tab/>
      </w:r>
      <w:r>
        <w:rPr>
          <w:rFonts w:ascii="Times New Roman"/>
          <w:sz w:val="21"/>
        </w:rPr>
        <w:t>60</w:t>
      </w:r>
      <w:r>
        <w:rPr>
          <w:rFonts w:ascii="Times New Roman"/>
          <w:sz w:val="21"/>
        </w:rPr>
        <w:tab/>
      </w:r>
      <w:r>
        <w:rPr>
          <w:rFonts w:ascii="Times New Roman"/>
          <w:sz w:val="21"/>
        </w:rPr>
        <w:t>70</w:t>
      </w:r>
      <w:r>
        <w:rPr>
          <w:rFonts w:ascii="Times New Roman"/>
          <w:sz w:val="21"/>
        </w:rPr>
        <w:tab/>
      </w:r>
      <w:r>
        <w:rPr>
          <w:rFonts w:ascii="Times New Roman"/>
          <w:sz w:val="21"/>
        </w:rPr>
        <w:t>80</w:t>
      </w:r>
      <w:r>
        <w:rPr>
          <w:rFonts w:ascii="Times New Roman"/>
          <w:sz w:val="21"/>
        </w:rPr>
        <w:tab/>
      </w:r>
      <w:r>
        <w:rPr>
          <w:rFonts w:ascii="Times New Roman"/>
          <w:sz w:val="21"/>
        </w:rPr>
        <w:t>90</w:t>
      </w:r>
      <w:r>
        <w:rPr>
          <w:rFonts w:ascii="Times New Roman"/>
          <w:sz w:val="21"/>
        </w:rPr>
        <w:tab/>
      </w:r>
      <w:r>
        <w:rPr>
          <w:rFonts w:ascii="Times New Roman"/>
          <w:sz w:val="21"/>
        </w:rPr>
        <w:t>100</w:t>
      </w:r>
    </w:p>
    <w:p>
      <w:pPr>
        <w:spacing w:before="105"/>
        <w:ind w:left="0" w:right="258" w:firstLine="0"/>
        <w:jc w:val="center"/>
        <w:rPr>
          <w:rFonts w:hint="eastAsia" w:ascii="等线" w:eastAsia="等线"/>
          <w:sz w:val="21"/>
        </w:rPr>
      </w:pPr>
      <w:r>
        <w:rPr>
          <w:rFonts w:hint="eastAsia" w:ascii="等线" w:eastAsia="等线"/>
          <w:sz w:val="21"/>
        </w:rPr>
        <w:t>工期历程的百分比（</w:t>
      </w:r>
      <w:r>
        <w:rPr>
          <w:rFonts w:ascii="Times New Roman" w:eastAsia="Times New Roman"/>
          <w:sz w:val="21"/>
        </w:rPr>
        <w:t>%</w:t>
      </w:r>
      <w:r>
        <w:rPr>
          <w:rFonts w:hint="eastAsia" w:ascii="等线" w:eastAsia="等线"/>
          <w:sz w:val="21"/>
        </w:rPr>
        <w:t>）</w:t>
      </w:r>
    </w:p>
    <w:p>
      <w:pPr>
        <w:spacing w:after="0"/>
        <w:jc w:val="center"/>
        <w:rPr>
          <w:rFonts w:hint="eastAsia" w:ascii="等线" w:eastAsia="等线"/>
          <w:sz w:val="21"/>
        </w:rPr>
        <w:sectPr>
          <w:headerReference r:id="rId20" w:type="default"/>
          <w:footerReference r:id="rId21" w:type="default"/>
          <w:pgSz w:w="11910" w:h="16840"/>
          <w:pgMar w:top="1380" w:right="580" w:bottom="1080" w:left="840" w:header="746" w:footer="891" w:gutter="0"/>
          <w:pgNumType w:start="107"/>
          <w:cols w:space="720" w:num="1"/>
        </w:sectPr>
      </w:pPr>
    </w:p>
    <w:p>
      <w:pPr>
        <w:pStyle w:val="5"/>
        <w:ind w:left="0"/>
        <w:rPr>
          <w:rFonts w:ascii="等线"/>
          <w:sz w:val="20"/>
        </w:rPr>
      </w:pPr>
    </w:p>
    <w:p>
      <w:pPr>
        <w:pStyle w:val="4"/>
        <w:tabs>
          <w:tab w:val="left" w:pos="1694"/>
        </w:tabs>
        <w:spacing w:before="67"/>
        <w:ind w:left="731"/>
      </w:pPr>
      <w:bookmarkStart w:id="158" w:name="附表四  施工总平面图"/>
      <w:bookmarkEnd w:id="158"/>
      <w:r>
        <w:t>附表四</w:t>
      </w:r>
      <w:r>
        <w:tab/>
      </w:r>
      <w:r>
        <w:t>施工总平面图</w:t>
      </w:r>
    </w:p>
    <w:p>
      <w:pPr>
        <w:pStyle w:val="5"/>
        <w:ind w:left="0"/>
        <w:rPr>
          <w:b/>
        </w:rPr>
      </w:pPr>
    </w:p>
    <w:p>
      <w:pPr>
        <w:pStyle w:val="5"/>
        <w:spacing w:before="3"/>
        <w:ind w:left="0"/>
        <w:rPr>
          <w:b/>
          <w:sz w:val="20"/>
        </w:rPr>
      </w:pPr>
    </w:p>
    <w:p>
      <w:pPr>
        <w:spacing w:before="0" w:line="364" w:lineRule="auto"/>
        <w:ind w:left="520" w:right="779" w:firstLine="420"/>
        <w:jc w:val="both"/>
        <w:rPr>
          <w:sz w:val="21"/>
        </w:rPr>
      </w:pPr>
      <w:r>
        <w:rPr>
          <w:spacing w:val="-4"/>
          <w:w w:val="95"/>
          <w:sz w:val="21"/>
        </w:rPr>
        <w:t xml:space="preserve">投标人应递交一份施工总平面图，绘出现场临时设施布置图表并附文字说明，说明施工营地、料   </w:t>
      </w:r>
      <w:r>
        <w:rPr>
          <w:spacing w:val="-5"/>
          <w:w w:val="95"/>
          <w:sz w:val="21"/>
        </w:rPr>
        <w:t xml:space="preserve">场、临时设施、加工车间、现场办公、设备及仓储、供电、供水、卫生、生活、道路、消防等设施的   </w:t>
      </w:r>
      <w:r>
        <w:rPr>
          <w:spacing w:val="-5"/>
          <w:sz w:val="21"/>
        </w:rPr>
        <w:t>情况和布置。</w:t>
      </w:r>
    </w:p>
    <w:p>
      <w:pPr>
        <w:spacing w:after="0" w:line="364" w:lineRule="auto"/>
        <w:jc w:val="both"/>
        <w:rPr>
          <w:sz w:val="21"/>
        </w:rPr>
        <w:sectPr>
          <w:pgSz w:w="11910" w:h="16840"/>
          <w:pgMar w:top="1380" w:right="580" w:bottom="1080" w:left="840" w:header="746" w:footer="891" w:gutter="0"/>
          <w:cols w:space="720" w:num="1"/>
        </w:sectPr>
      </w:pPr>
    </w:p>
    <w:p>
      <w:pPr>
        <w:pStyle w:val="5"/>
        <w:spacing w:before="7"/>
        <w:ind w:left="0"/>
        <w:rPr>
          <w:sz w:val="20"/>
        </w:rPr>
      </w:pPr>
    </w:p>
    <w:p>
      <w:pPr>
        <w:pStyle w:val="4"/>
        <w:spacing w:before="66"/>
        <w:ind w:left="731"/>
      </w:pPr>
      <w:bookmarkStart w:id="159" w:name="附表五 劳动力计划表"/>
      <w:bookmarkEnd w:id="159"/>
      <w:r>
        <w:t>附表五 劳动力计划表</w:t>
      </w:r>
    </w:p>
    <w:p>
      <w:pPr>
        <w:pStyle w:val="5"/>
        <w:ind w:left="0"/>
        <w:rPr>
          <w:b/>
          <w:sz w:val="20"/>
        </w:rPr>
      </w:pPr>
    </w:p>
    <w:p>
      <w:pPr>
        <w:pStyle w:val="5"/>
        <w:spacing w:before="9"/>
        <w:ind w:left="0"/>
        <w:rPr>
          <w:b/>
          <w:sz w:val="18"/>
        </w:rPr>
      </w:pPr>
    </w:p>
    <w:p>
      <w:pPr>
        <w:spacing w:before="69"/>
        <w:ind w:left="0" w:right="220" w:firstLine="0"/>
        <w:jc w:val="right"/>
        <w:rPr>
          <w:sz w:val="21"/>
        </w:rPr>
      </w:pPr>
      <w:r>
        <w:rPr>
          <w:w w:val="95"/>
          <w:sz w:val="21"/>
        </w:rPr>
        <w:t>单位：人</w:t>
      </w:r>
    </w:p>
    <w:p>
      <w:pPr>
        <w:pStyle w:val="5"/>
        <w:spacing w:before="12"/>
        <w:ind w:left="0"/>
        <w:rPr>
          <w:sz w:val="10"/>
        </w:rPr>
      </w:pPr>
    </w:p>
    <w:tbl>
      <w:tblPr>
        <w:tblStyle w:val="7"/>
        <w:tblW w:w="0" w:type="auto"/>
        <w:tblInd w:w="4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5"/>
        <w:gridCol w:w="1245"/>
        <w:gridCol w:w="1245"/>
        <w:gridCol w:w="1245"/>
        <w:gridCol w:w="1245"/>
        <w:gridCol w:w="1245"/>
        <w:gridCol w:w="1246"/>
        <w:gridCol w:w="12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spacing w:before="1"/>
              <w:ind w:left="412"/>
              <w:rPr>
                <w:sz w:val="21"/>
              </w:rPr>
            </w:pPr>
            <w:r>
              <w:rPr>
                <w:sz w:val="21"/>
              </w:rPr>
              <w:t>工种</w:t>
            </w:r>
          </w:p>
        </w:tc>
        <w:tc>
          <w:tcPr>
            <w:tcW w:w="8717" w:type="dxa"/>
            <w:gridSpan w:val="7"/>
          </w:tcPr>
          <w:p>
            <w:pPr>
              <w:pStyle w:val="11"/>
              <w:spacing w:before="1"/>
              <w:ind w:left="2866" w:right="2861"/>
              <w:jc w:val="center"/>
              <w:rPr>
                <w:sz w:val="21"/>
              </w:rPr>
            </w:pPr>
            <w:r>
              <w:rPr>
                <w:sz w:val="21"/>
              </w:rPr>
              <w:t>按工程施工阶段投入劳动力情况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5" w:type="dxa"/>
          </w:tcPr>
          <w:p>
            <w:pPr>
              <w:pStyle w:val="11"/>
              <w:rPr>
                <w:rFonts w:ascii="Times New Roman"/>
                <w:sz w:val="18"/>
              </w:rPr>
            </w:pPr>
          </w:p>
        </w:tc>
        <w:tc>
          <w:tcPr>
            <w:tcW w:w="1246" w:type="dxa"/>
          </w:tcPr>
          <w:p>
            <w:pPr>
              <w:pStyle w:val="11"/>
              <w:rPr>
                <w:rFonts w:ascii="Times New Roman"/>
                <w:sz w:val="18"/>
              </w:rPr>
            </w:pPr>
          </w:p>
        </w:tc>
        <w:tc>
          <w:tcPr>
            <w:tcW w:w="1246" w:type="dxa"/>
          </w:tcPr>
          <w:p>
            <w:pPr>
              <w:pStyle w:val="11"/>
              <w:rPr>
                <w:rFonts w:ascii="Times New Roman"/>
                <w:sz w:val="18"/>
              </w:rPr>
            </w:pPr>
          </w:p>
        </w:tc>
      </w:tr>
    </w:tbl>
    <w:p>
      <w:pPr>
        <w:spacing w:after="0"/>
        <w:rPr>
          <w:rFonts w:ascii="Times New Roman"/>
          <w:sz w:val="18"/>
        </w:rPr>
        <w:sectPr>
          <w:pgSz w:w="11910" w:h="16840"/>
          <w:pgMar w:top="1380" w:right="580" w:bottom="1080" w:left="840" w:header="746" w:footer="891" w:gutter="0"/>
          <w:cols w:space="720" w:num="1"/>
        </w:sectPr>
      </w:pPr>
    </w:p>
    <w:p>
      <w:pPr>
        <w:pStyle w:val="5"/>
        <w:spacing w:before="7"/>
        <w:ind w:left="0"/>
        <w:rPr>
          <w:sz w:val="20"/>
        </w:rPr>
      </w:pPr>
    </w:p>
    <w:p>
      <w:pPr>
        <w:pStyle w:val="4"/>
        <w:spacing w:before="66"/>
        <w:ind w:left="731"/>
      </w:pPr>
      <w:bookmarkStart w:id="160" w:name="附表六 临时占地计划表"/>
      <w:bookmarkEnd w:id="160"/>
      <w:r>
        <w:t>附表六 临时占地计划表</w:t>
      </w:r>
    </w:p>
    <w:p>
      <w:pPr>
        <w:pStyle w:val="5"/>
        <w:ind w:left="0"/>
        <w:rPr>
          <w:b/>
          <w:sz w:val="20"/>
        </w:rPr>
      </w:pPr>
    </w:p>
    <w:p>
      <w:pPr>
        <w:pStyle w:val="5"/>
        <w:spacing w:before="2"/>
        <w:ind w:left="0"/>
        <w:rPr>
          <w:b/>
        </w:rPr>
      </w:pPr>
    </w:p>
    <w:tbl>
      <w:tblPr>
        <w:tblStyle w:val="7"/>
        <w:tblW w:w="0" w:type="auto"/>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8"/>
        <w:gridCol w:w="606"/>
        <w:gridCol w:w="606"/>
        <w:gridCol w:w="606"/>
        <w:gridCol w:w="606"/>
        <w:gridCol w:w="606"/>
        <w:gridCol w:w="1866"/>
        <w:gridCol w:w="606"/>
        <w:gridCol w:w="921"/>
        <w:gridCol w:w="9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2618" w:type="dxa"/>
            <w:vMerge w:val="restart"/>
          </w:tcPr>
          <w:p>
            <w:pPr>
              <w:pStyle w:val="11"/>
              <w:rPr>
                <w:b/>
                <w:sz w:val="20"/>
              </w:rPr>
            </w:pPr>
          </w:p>
          <w:p>
            <w:pPr>
              <w:pStyle w:val="11"/>
              <w:spacing w:before="8"/>
              <w:rPr>
                <w:b/>
                <w:sz w:val="21"/>
              </w:rPr>
            </w:pPr>
          </w:p>
          <w:p>
            <w:pPr>
              <w:pStyle w:val="11"/>
              <w:ind w:left="1077" w:right="1070"/>
              <w:jc w:val="center"/>
              <w:rPr>
                <w:sz w:val="21"/>
              </w:rPr>
            </w:pPr>
            <w:r>
              <w:rPr>
                <w:sz w:val="21"/>
              </w:rPr>
              <w:t>用途</w:t>
            </w:r>
          </w:p>
        </w:tc>
        <w:tc>
          <w:tcPr>
            <w:tcW w:w="3030" w:type="dxa"/>
            <w:gridSpan w:val="5"/>
          </w:tcPr>
          <w:p>
            <w:pPr>
              <w:pStyle w:val="11"/>
              <w:spacing w:before="121"/>
              <w:ind w:left="997" w:right="990"/>
              <w:jc w:val="center"/>
              <w:rPr>
                <w:sz w:val="21"/>
              </w:rPr>
            </w:pPr>
            <w:r>
              <w:rPr>
                <w:w w:val="99"/>
                <w:sz w:val="21"/>
              </w:rPr>
              <w:t>面积</w:t>
            </w:r>
            <w:r>
              <w:rPr>
                <w:spacing w:val="2"/>
                <w:w w:val="99"/>
                <w:sz w:val="21"/>
              </w:rPr>
              <w:t>（</w:t>
            </w:r>
            <w:r>
              <w:rPr>
                <w:spacing w:val="-2"/>
                <w:w w:val="99"/>
                <w:sz w:val="21"/>
              </w:rPr>
              <w:t>m</w:t>
            </w:r>
            <w:r>
              <w:rPr>
                <w:spacing w:val="-1"/>
                <w:w w:val="106"/>
                <w:position w:val="11"/>
                <w:sz w:val="10"/>
              </w:rPr>
              <w:t>2</w:t>
            </w:r>
            <w:r>
              <w:rPr>
                <w:w w:val="99"/>
                <w:sz w:val="21"/>
              </w:rPr>
              <w:t>）</w:t>
            </w:r>
          </w:p>
        </w:tc>
        <w:tc>
          <w:tcPr>
            <w:tcW w:w="1866" w:type="dxa"/>
            <w:vMerge w:val="restart"/>
          </w:tcPr>
          <w:p>
            <w:pPr>
              <w:pStyle w:val="11"/>
              <w:spacing w:before="7"/>
              <w:rPr>
                <w:b/>
                <w:sz w:val="25"/>
              </w:rPr>
            </w:pPr>
          </w:p>
          <w:p>
            <w:pPr>
              <w:pStyle w:val="11"/>
              <w:spacing w:line="364" w:lineRule="auto"/>
              <w:ind w:left="406" w:right="398" w:firstLine="105"/>
              <w:rPr>
                <w:sz w:val="21"/>
              </w:rPr>
            </w:pPr>
            <w:r>
              <w:rPr>
                <w:sz w:val="21"/>
              </w:rPr>
              <w:t>需用时间年月至年月</w:t>
            </w:r>
          </w:p>
        </w:tc>
        <w:tc>
          <w:tcPr>
            <w:tcW w:w="2448" w:type="dxa"/>
            <w:gridSpan w:val="3"/>
          </w:tcPr>
          <w:p>
            <w:pPr>
              <w:pStyle w:val="11"/>
              <w:spacing w:before="119"/>
              <w:ind w:left="804"/>
              <w:rPr>
                <w:sz w:val="21"/>
              </w:rPr>
            </w:pPr>
            <w:r>
              <w:rPr>
                <w:sz w:val="21"/>
              </w:rPr>
              <w:t>用地位置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2618" w:type="dxa"/>
            <w:vMerge w:val="continue"/>
            <w:tcBorders>
              <w:top w:val="nil"/>
            </w:tcBorders>
          </w:tcPr>
          <w:p>
            <w:pPr>
              <w:rPr>
                <w:sz w:val="2"/>
                <w:szCs w:val="2"/>
              </w:rPr>
            </w:pPr>
          </w:p>
        </w:tc>
        <w:tc>
          <w:tcPr>
            <w:tcW w:w="606" w:type="dxa"/>
          </w:tcPr>
          <w:p>
            <w:pPr>
              <w:pStyle w:val="11"/>
              <w:spacing w:before="1"/>
              <w:ind w:left="196"/>
              <w:rPr>
                <w:sz w:val="21"/>
              </w:rPr>
            </w:pPr>
            <w:r>
              <w:rPr>
                <w:w w:val="99"/>
                <w:sz w:val="21"/>
              </w:rPr>
              <w:t>菜</w:t>
            </w:r>
          </w:p>
          <w:p>
            <w:pPr>
              <w:pStyle w:val="11"/>
              <w:spacing w:before="138"/>
              <w:ind w:left="196"/>
              <w:rPr>
                <w:sz w:val="21"/>
              </w:rPr>
            </w:pPr>
            <w:r>
              <w:rPr>
                <w:w w:val="99"/>
                <w:sz w:val="21"/>
              </w:rPr>
              <w:t>地</w:t>
            </w:r>
          </w:p>
        </w:tc>
        <w:tc>
          <w:tcPr>
            <w:tcW w:w="606" w:type="dxa"/>
          </w:tcPr>
          <w:p>
            <w:pPr>
              <w:pStyle w:val="11"/>
              <w:spacing w:before="1"/>
              <w:ind w:left="198"/>
              <w:rPr>
                <w:sz w:val="21"/>
              </w:rPr>
            </w:pPr>
            <w:r>
              <w:rPr>
                <w:w w:val="99"/>
                <w:sz w:val="21"/>
              </w:rPr>
              <w:t>水</w:t>
            </w:r>
          </w:p>
          <w:p>
            <w:pPr>
              <w:pStyle w:val="11"/>
              <w:spacing w:before="138"/>
              <w:ind w:left="198"/>
              <w:rPr>
                <w:sz w:val="21"/>
              </w:rPr>
            </w:pPr>
            <w:r>
              <w:rPr>
                <w:w w:val="99"/>
                <w:sz w:val="21"/>
              </w:rPr>
              <w:t>田</w:t>
            </w:r>
          </w:p>
        </w:tc>
        <w:tc>
          <w:tcPr>
            <w:tcW w:w="606" w:type="dxa"/>
          </w:tcPr>
          <w:p>
            <w:pPr>
              <w:pStyle w:val="11"/>
              <w:spacing w:before="1"/>
              <w:ind w:left="196"/>
              <w:rPr>
                <w:sz w:val="21"/>
              </w:rPr>
            </w:pPr>
            <w:r>
              <w:rPr>
                <w:w w:val="99"/>
                <w:sz w:val="21"/>
              </w:rPr>
              <w:t>旱</w:t>
            </w:r>
          </w:p>
          <w:p>
            <w:pPr>
              <w:pStyle w:val="11"/>
              <w:spacing w:before="138"/>
              <w:ind w:left="196"/>
              <w:rPr>
                <w:sz w:val="21"/>
              </w:rPr>
            </w:pPr>
            <w:r>
              <w:rPr>
                <w:w w:val="99"/>
                <w:sz w:val="21"/>
              </w:rPr>
              <w:t>地</w:t>
            </w:r>
          </w:p>
        </w:tc>
        <w:tc>
          <w:tcPr>
            <w:tcW w:w="606" w:type="dxa"/>
          </w:tcPr>
          <w:p>
            <w:pPr>
              <w:pStyle w:val="11"/>
              <w:spacing w:before="1"/>
              <w:ind w:left="198"/>
              <w:rPr>
                <w:sz w:val="21"/>
              </w:rPr>
            </w:pPr>
            <w:r>
              <w:rPr>
                <w:w w:val="99"/>
                <w:sz w:val="21"/>
              </w:rPr>
              <w:t>果</w:t>
            </w:r>
          </w:p>
          <w:p>
            <w:pPr>
              <w:pStyle w:val="11"/>
              <w:spacing w:before="138"/>
              <w:ind w:left="198"/>
              <w:rPr>
                <w:sz w:val="21"/>
              </w:rPr>
            </w:pPr>
            <w:r>
              <w:rPr>
                <w:w w:val="99"/>
                <w:sz w:val="21"/>
              </w:rPr>
              <w:t>园</w:t>
            </w:r>
          </w:p>
        </w:tc>
        <w:tc>
          <w:tcPr>
            <w:tcW w:w="606" w:type="dxa"/>
          </w:tcPr>
          <w:p>
            <w:pPr>
              <w:pStyle w:val="11"/>
              <w:spacing w:before="1"/>
              <w:ind w:left="196"/>
              <w:rPr>
                <w:sz w:val="21"/>
              </w:rPr>
            </w:pPr>
            <w:r>
              <w:rPr>
                <w:w w:val="99"/>
                <w:sz w:val="21"/>
              </w:rPr>
              <w:t>荒</w:t>
            </w:r>
          </w:p>
          <w:p>
            <w:pPr>
              <w:pStyle w:val="11"/>
              <w:spacing w:before="138"/>
              <w:ind w:left="196"/>
              <w:rPr>
                <w:sz w:val="21"/>
              </w:rPr>
            </w:pPr>
            <w:r>
              <w:rPr>
                <w:w w:val="99"/>
                <w:sz w:val="21"/>
              </w:rPr>
              <w:t>地</w:t>
            </w:r>
          </w:p>
        </w:tc>
        <w:tc>
          <w:tcPr>
            <w:tcW w:w="1866" w:type="dxa"/>
            <w:vMerge w:val="continue"/>
            <w:tcBorders>
              <w:top w:val="nil"/>
            </w:tcBorders>
          </w:tcPr>
          <w:p>
            <w:pPr>
              <w:rPr>
                <w:sz w:val="2"/>
                <w:szCs w:val="2"/>
              </w:rPr>
            </w:pPr>
          </w:p>
        </w:tc>
        <w:tc>
          <w:tcPr>
            <w:tcW w:w="606" w:type="dxa"/>
          </w:tcPr>
          <w:p>
            <w:pPr>
              <w:pStyle w:val="11"/>
              <w:spacing w:before="1"/>
              <w:ind w:left="196"/>
              <w:rPr>
                <w:sz w:val="21"/>
              </w:rPr>
            </w:pPr>
            <w:r>
              <w:rPr>
                <w:w w:val="99"/>
                <w:sz w:val="21"/>
              </w:rPr>
              <w:t>桩</w:t>
            </w:r>
          </w:p>
          <w:p>
            <w:pPr>
              <w:pStyle w:val="11"/>
              <w:spacing w:before="138"/>
              <w:ind w:left="196"/>
              <w:rPr>
                <w:sz w:val="21"/>
              </w:rPr>
            </w:pPr>
            <w:r>
              <w:rPr>
                <w:w w:val="99"/>
                <w:sz w:val="21"/>
              </w:rPr>
              <w:t>号</w:t>
            </w:r>
          </w:p>
        </w:tc>
        <w:tc>
          <w:tcPr>
            <w:tcW w:w="921" w:type="dxa"/>
          </w:tcPr>
          <w:p>
            <w:pPr>
              <w:pStyle w:val="11"/>
              <w:spacing w:before="1"/>
              <w:ind w:left="248"/>
              <w:rPr>
                <w:sz w:val="21"/>
              </w:rPr>
            </w:pPr>
            <w:r>
              <w:rPr>
                <w:sz w:val="21"/>
              </w:rPr>
              <w:t>左侧</w:t>
            </w:r>
          </w:p>
          <w:p>
            <w:pPr>
              <w:pStyle w:val="11"/>
              <w:spacing w:before="138"/>
              <w:ind w:left="198"/>
              <w:rPr>
                <w:sz w:val="21"/>
              </w:rPr>
            </w:pPr>
            <w:r>
              <w:rPr>
                <w:sz w:val="21"/>
              </w:rPr>
              <w:t>（m）</w:t>
            </w:r>
          </w:p>
        </w:tc>
        <w:tc>
          <w:tcPr>
            <w:tcW w:w="921" w:type="dxa"/>
          </w:tcPr>
          <w:p>
            <w:pPr>
              <w:pStyle w:val="11"/>
              <w:spacing w:before="1"/>
              <w:ind w:left="249"/>
              <w:rPr>
                <w:sz w:val="21"/>
              </w:rPr>
            </w:pPr>
            <w:r>
              <w:rPr>
                <w:sz w:val="21"/>
              </w:rPr>
              <w:t>右侧</w:t>
            </w:r>
          </w:p>
          <w:p>
            <w:pPr>
              <w:pStyle w:val="11"/>
              <w:spacing w:before="138"/>
              <w:ind w:left="198"/>
              <w:rPr>
                <w:sz w:val="21"/>
              </w:rPr>
            </w:pPr>
            <w:r>
              <w:rPr>
                <w:sz w:val="21"/>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spacing w:before="1"/>
              <w:ind w:left="107"/>
              <w:rPr>
                <w:sz w:val="21"/>
              </w:rPr>
            </w:pPr>
            <w:r>
              <w:rPr>
                <w:sz w:val="21"/>
              </w:rPr>
              <w:t>一、临时工程</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ind w:left="316"/>
              <w:rPr>
                <w:sz w:val="21"/>
              </w:rPr>
            </w:pPr>
            <w:r>
              <w:rPr>
                <w:sz w:val="21"/>
              </w:rPr>
              <w:t>1.……</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ind w:left="316"/>
              <w:rPr>
                <w:sz w:val="21"/>
              </w:rPr>
            </w:pPr>
            <w:r>
              <w:rPr>
                <w:sz w:val="21"/>
              </w:rPr>
              <w:t>2.……</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spacing w:before="1"/>
              <w:ind w:left="316"/>
              <w:rPr>
                <w:sz w:val="21"/>
              </w:rPr>
            </w:pPr>
            <w:r>
              <w:rPr>
                <w:sz w:val="21"/>
              </w:rPr>
              <w:t>3.……</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ind w:left="316"/>
              <w:rPr>
                <w:sz w:val="21"/>
              </w:rPr>
            </w:pPr>
            <w:r>
              <w:rPr>
                <w:sz w:val="21"/>
              </w:rPr>
              <w:t>……</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spacing w:line="268" w:lineRule="exact"/>
              <w:ind w:left="107"/>
              <w:rPr>
                <w:sz w:val="21"/>
              </w:rPr>
            </w:pPr>
            <w:r>
              <w:rPr>
                <w:sz w:val="21"/>
              </w:rPr>
              <w:t>二、生产及生活临时设施</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spacing w:before="1"/>
              <w:ind w:left="316"/>
              <w:rPr>
                <w:sz w:val="21"/>
              </w:rPr>
            </w:pPr>
            <w:r>
              <w:rPr>
                <w:sz w:val="21"/>
              </w:rPr>
              <w:t>1.临时住房</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ind w:left="316"/>
              <w:rPr>
                <w:sz w:val="21"/>
              </w:rPr>
            </w:pPr>
            <w:r>
              <w:rPr>
                <w:sz w:val="21"/>
              </w:rPr>
              <w:t>2.办公等公用房屋</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spacing w:before="2"/>
              <w:ind w:left="316"/>
              <w:rPr>
                <w:sz w:val="21"/>
              </w:rPr>
            </w:pPr>
            <w:r>
              <w:rPr>
                <w:sz w:val="21"/>
              </w:rPr>
              <w:t>3.料库</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ind w:left="316"/>
              <w:rPr>
                <w:sz w:val="21"/>
              </w:rPr>
            </w:pPr>
            <w:r>
              <w:rPr>
                <w:sz w:val="21"/>
              </w:rPr>
              <w:t>4.预制场</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ind w:left="316"/>
              <w:rPr>
                <w:sz w:val="21"/>
              </w:rPr>
            </w:pPr>
            <w:r>
              <w:rPr>
                <w:sz w:val="21"/>
              </w:rPr>
              <w:t>……</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618"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2618" w:type="dxa"/>
          </w:tcPr>
          <w:p>
            <w:pPr>
              <w:pStyle w:val="11"/>
              <w:spacing w:before="1"/>
              <w:ind w:left="678"/>
              <w:rPr>
                <w:sz w:val="21"/>
              </w:rPr>
            </w:pPr>
            <w:r>
              <w:rPr>
                <w:sz w:val="21"/>
              </w:rPr>
              <w:t>租用面积合计</w:t>
            </w: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606" w:type="dxa"/>
          </w:tcPr>
          <w:p>
            <w:pPr>
              <w:pStyle w:val="11"/>
              <w:rPr>
                <w:rFonts w:ascii="Times New Roman"/>
                <w:sz w:val="20"/>
              </w:rPr>
            </w:pPr>
          </w:p>
        </w:tc>
        <w:tc>
          <w:tcPr>
            <w:tcW w:w="1866" w:type="dxa"/>
          </w:tcPr>
          <w:p>
            <w:pPr>
              <w:pStyle w:val="11"/>
              <w:rPr>
                <w:rFonts w:ascii="Times New Roman"/>
                <w:sz w:val="20"/>
              </w:rPr>
            </w:pPr>
          </w:p>
        </w:tc>
        <w:tc>
          <w:tcPr>
            <w:tcW w:w="606" w:type="dxa"/>
          </w:tcPr>
          <w:p>
            <w:pPr>
              <w:pStyle w:val="11"/>
              <w:rPr>
                <w:rFonts w:ascii="Times New Roman"/>
                <w:sz w:val="20"/>
              </w:rPr>
            </w:pPr>
          </w:p>
        </w:tc>
        <w:tc>
          <w:tcPr>
            <w:tcW w:w="921" w:type="dxa"/>
          </w:tcPr>
          <w:p>
            <w:pPr>
              <w:pStyle w:val="11"/>
              <w:rPr>
                <w:rFonts w:ascii="Times New Roman"/>
                <w:sz w:val="20"/>
              </w:rPr>
            </w:pPr>
          </w:p>
        </w:tc>
        <w:tc>
          <w:tcPr>
            <w:tcW w:w="921" w:type="dxa"/>
          </w:tcPr>
          <w:p>
            <w:pPr>
              <w:pStyle w:val="11"/>
              <w:rPr>
                <w:rFonts w:ascii="Times New Roman"/>
                <w:sz w:val="20"/>
              </w:rPr>
            </w:pPr>
          </w:p>
        </w:tc>
      </w:tr>
    </w:tbl>
    <w:p>
      <w:pPr>
        <w:spacing w:after="0"/>
        <w:rPr>
          <w:rFonts w:ascii="Times New Roman"/>
          <w:sz w:val="20"/>
        </w:rPr>
        <w:sectPr>
          <w:footerReference r:id="rId22" w:type="default"/>
          <w:pgSz w:w="11910" w:h="16840"/>
          <w:pgMar w:top="1380" w:right="580" w:bottom="1080" w:left="840" w:header="746" w:footer="891" w:gutter="0"/>
          <w:pgNumType w:start="110"/>
          <w:cols w:space="720" w:num="1"/>
        </w:sectPr>
      </w:pPr>
    </w:p>
    <w:p>
      <w:pPr>
        <w:pStyle w:val="5"/>
        <w:ind w:left="0"/>
        <w:rPr>
          <w:b/>
          <w:sz w:val="20"/>
        </w:rPr>
      </w:pPr>
      <w:r>
        <mc:AlternateContent>
          <mc:Choice Requires="wpg">
            <w:drawing>
              <wp:anchor distT="0" distB="0" distL="114300" distR="114300" simplePos="0" relativeHeight="251683840" behindDoc="1" locked="0" layoutInCell="1" allowOverlap="1">
                <wp:simplePos x="0" y="0"/>
                <wp:positionH relativeFrom="page">
                  <wp:posOffset>710565</wp:posOffset>
                </wp:positionH>
                <wp:positionV relativeFrom="page">
                  <wp:posOffset>1713230</wp:posOffset>
                </wp:positionV>
                <wp:extent cx="6139180" cy="7829550"/>
                <wp:effectExtent l="635" t="635" r="13335" b="18415"/>
                <wp:wrapNone/>
                <wp:docPr id="13" name="组合 29"/>
                <wp:cNvGraphicFramePr/>
                <a:graphic xmlns:a="http://schemas.openxmlformats.org/drawingml/2006/main">
                  <a:graphicData uri="http://schemas.microsoft.com/office/word/2010/wordprocessingGroup">
                    <wpg:wgp>
                      <wpg:cNvGrpSpPr/>
                      <wpg:grpSpPr>
                        <a:xfrm>
                          <a:off x="0" y="0"/>
                          <a:ext cx="6139180" cy="7829550"/>
                          <a:chOff x="1120" y="2699"/>
                          <a:chExt cx="9668" cy="12330"/>
                        </a:xfrm>
                      </wpg:grpSpPr>
                      <wps:wsp>
                        <wps:cNvPr id="10" name="任意多边形 30"/>
                        <wps:cNvSpPr/>
                        <wps:spPr>
                          <a:xfrm>
                            <a:off x="1119" y="1825"/>
                            <a:ext cx="9668" cy="12301"/>
                          </a:xfrm>
                          <a:custGeom>
                            <a:avLst/>
                            <a:gdLst/>
                            <a:ahLst/>
                            <a:cxnLst/>
                            <a:pathLst>
                              <a:path w="9668" h="12301">
                                <a:moveTo>
                                  <a:pt x="0" y="887"/>
                                </a:moveTo>
                                <a:lnTo>
                                  <a:pt x="9667" y="887"/>
                                </a:lnTo>
                                <a:moveTo>
                                  <a:pt x="0" y="13188"/>
                                </a:moveTo>
                                <a:lnTo>
                                  <a:pt x="9667" y="13188"/>
                                </a:lnTo>
                              </a:path>
                            </a:pathLst>
                          </a:custGeom>
                          <a:noFill/>
                          <a:ln w="18288" cap="flat" cmpd="sng">
                            <a:solidFill>
                              <a:srgbClr val="000000"/>
                            </a:solidFill>
                            <a:prstDash val="solid"/>
                            <a:headEnd type="none" w="med" len="med"/>
                            <a:tailEnd type="none" w="med" len="med"/>
                          </a:ln>
                        </wps:spPr>
                        <wps:bodyPr upright="1"/>
                      </wps:wsp>
                      <wps:wsp>
                        <wps:cNvPr id="11" name="直线 31"/>
                        <wps:cNvCnPr/>
                        <wps:spPr>
                          <a:xfrm>
                            <a:off x="1148" y="10924"/>
                            <a:ext cx="9611" cy="0"/>
                          </a:xfrm>
                          <a:prstGeom prst="line">
                            <a:avLst/>
                          </a:prstGeom>
                          <a:ln w="9144" cap="flat" cmpd="sng">
                            <a:solidFill>
                              <a:srgbClr val="000000"/>
                            </a:solidFill>
                            <a:prstDash val="solid"/>
                            <a:headEnd type="none" w="med" len="med"/>
                            <a:tailEnd type="none" w="med" len="med"/>
                          </a:ln>
                        </wps:spPr>
                        <wps:bodyPr upright="1"/>
                      </wps:wsp>
                      <wps:wsp>
                        <wps:cNvPr id="12" name="任意多边形 32"/>
                        <wps:cNvSpPr/>
                        <wps:spPr>
                          <a:xfrm>
                            <a:off x="1134" y="1811"/>
                            <a:ext cx="9639" cy="12330"/>
                          </a:xfrm>
                          <a:custGeom>
                            <a:avLst/>
                            <a:gdLst/>
                            <a:ahLst/>
                            <a:cxnLst/>
                            <a:pathLst>
                              <a:path w="9639" h="12330">
                                <a:moveTo>
                                  <a:pt x="0" y="888"/>
                                </a:moveTo>
                                <a:lnTo>
                                  <a:pt x="0" y="13218"/>
                                </a:lnTo>
                                <a:moveTo>
                                  <a:pt x="9639" y="917"/>
                                </a:moveTo>
                                <a:lnTo>
                                  <a:pt x="9639" y="13218"/>
                                </a:lnTo>
                              </a:path>
                            </a:pathLst>
                          </a:custGeom>
                          <a:noFill/>
                          <a:ln w="18288" cap="flat" cmpd="sng">
                            <a:solidFill>
                              <a:srgbClr val="000000"/>
                            </a:solidFill>
                            <a:prstDash val="solid"/>
                            <a:headEnd type="none" w="med" len="med"/>
                            <a:tailEnd type="none" w="med" len="med"/>
                          </a:ln>
                        </wps:spPr>
                        <wps:bodyPr upright="1"/>
                      </wps:wsp>
                    </wpg:wgp>
                  </a:graphicData>
                </a:graphic>
              </wp:anchor>
            </w:drawing>
          </mc:Choice>
          <mc:Fallback>
            <w:pict>
              <v:group id="组合 29" o:spid="_x0000_s1026" o:spt="203" style="position:absolute;left:0pt;margin-left:55.95pt;margin-top:134.9pt;height:616.5pt;width:483.4pt;mso-position-horizontal-relative:page;mso-position-vertical-relative:page;z-index:-251632640;mso-width-relative:page;mso-height-relative:page;" coordorigin="1120,2699" coordsize="9668,12330" o:gfxdata="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DyjaV9sAAAANAQAADwAAAAAAAAABACAAAAAiAAAAZHJzL2Rvd25yZXYueG1sUEsBAhQAFAAA&#10;AAgAh07iQHVnmHR7AwAAOwsAAA4AAAAAAAAAAQAgAAAAKgEAAGRycy9lMm9Eb2MueG1sUEsFBgAA&#10;AAAGAAYAWQEAABcHAAAAAA==&#10;">
                <o:lock v:ext="edit" aspectratio="f"/>
                <v:shape id="任意多边形 30" o:spid="_x0000_s1026" o:spt="100" style="position:absolute;left:1119;top:1825;height:12301;width:9668;" filled="f" stroked="t" coordsize="9668,12301" o:gfxdata="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syFL4A&#10;AADbAAAADwAAAAAAAAABACAAAAAiAAAAZHJzL2Rvd25yZXYueG1sUEsBAhQAFAAAAAgAh07iQDMv&#10;BZ47AAAAOQAAABAAAAAAAAAAAQAgAAAADQEAAGRycy9zaGFwZXhtbC54bWxQSwUGAAAAAAYABgBb&#10;AQAAtwMAAAAA&#10;" path="m0,887l9667,887m0,13188l9667,13188e">
                  <v:fill on="f" focussize="0,0"/>
                  <v:stroke weight="1.44pt" color="#000000" joinstyle="round"/>
                  <v:imagedata o:title=""/>
                  <o:lock v:ext="edit" aspectratio="f"/>
                </v:shape>
                <v:line id="直线 31" o:spid="_x0000_s1026" o:spt="20" style="position:absolute;left:1148;top:10924;height:0;width:9611;" filled="f" stroked="t" coordsize="21600,21600" o:gfxdata="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k9mUugAAANsA&#10;AAAPAAAAAAAAAAEAIAAAACIAAABkcnMvZG93bnJldi54bWxQSwECFAAUAAAACACHTuJAMy8FnjsA&#10;AAA5AAAAEAAAAAAAAAABACAAAAAJAQAAZHJzL3NoYXBleG1sLnhtbFBLBQYAAAAABgAGAFsBAACz&#10;AwAAAAA=&#10;">
                  <v:fill on="f" focussize="0,0"/>
                  <v:stroke weight="0.72pt" color="#000000" joinstyle="round"/>
                  <v:imagedata o:title=""/>
                  <o:lock v:ext="edit" aspectratio="f"/>
                </v:line>
                <v:shape id="任意多边形 32" o:spid="_x0000_s1026" o:spt="100" style="position:absolute;left:1134;top:1811;height:12330;width:9639;" filled="f" stroked="t" coordsize="9639,12330" o:gfxdata="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1QLC8AAAA&#10;2wAAAA8AAAAAAAAAAQAgAAAAIgAAAGRycy9kb3ducmV2LnhtbFBLAQIUABQAAAAIAIdO4kAzLwWe&#10;OwAAADkAAAAQAAAAAAAAAAEAIAAAAAsBAABkcnMvc2hhcGV4bWwueG1sUEsFBgAAAAAGAAYAWwEA&#10;ALUDAAAAAA==&#10;" path="m0,888l0,13218m9639,917l9639,13218e">
                  <v:fill on="f" focussize="0,0"/>
                  <v:stroke weight="1.44pt" color="#000000" joinstyle="round"/>
                  <v:imagedata o:title=""/>
                  <o:lock v:ext="edit" aspectratio="f"/>
                </v:shape>
              </v:group>
            </w:pict>
          </mc:Fallback>
        </mc:AlternateContent>
      </w:r>
    </w:p>
    <w:p>
      <w:pPr>
        <w:pStyle w:val="5"/>
        <w:spacing w:before="10"/>
        <w:ind w:left="0"/>
        <w:rPr>
          <w:b/>
          <w:sz w:val="20"/>
        </w:rPr>
      </w:pPr>
    </w:p>
    <w:p>
      <w:pPr>
        <w:pStyle w:val="4"/>
        <w:spacing w:before="66"/>
        <w:ind w:left="0" w:right="258"/>
        <w:jc w:val="center"/>
      </w:pPr>
      <w:bookmarkStart w:id="161" w:name="五、项目管理机构"/>
      <w:bookmarkEnd w:id="161"/>
      <w:r>
        <w:t>五、项目管理机构</w:t>
      </w:r>
    </w:p>
    <w:p>
      <w:pPr>
        <w:pStyle w:val="5"/>
        <w:ind w:left="0"/>
        <w:rPr>
          <w:b/>
        </w:rPr>
      </w:pPr>
    </w:p>
    <w:p>
      <w:pPr>
        <w:pStyle w:val="5"/>
        <w:ind w:left="0"/>
        <w:rPr>
          <w:b/>
        </w:rPr>
      </w:pPr>
    </w:p>
    <w:p>
      <w:pPr>
        <w:pStyle w:val="5"/>
        <w:spacing w:before="12"/>
        <w:ind w:left="0"/>
        <w:rPr>
          <w:b/>
          <w:sz w:val="18"/>
        </w:rPr>
      </w:pPr>
    </w:p>
    <w:p>
      <w:pPr>
        <w:spacing w:before="0"/>
        <w:ind w:left="400" w:right="0" w:firstLine="0"/>
        <w:jc w:val="left"/>
        <w:rPr>
          <w:sz w:val="21"/>
        </w:rPr>
      </w:pPr>
      <w:r>
        <w:rPr>
          <w:sz w:val="21"/>
        </w:rPr>
        <w:t>拟为承包本标段工程设立的组织机构以框图方式表示</w:t>
      </w: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ind w:left="0"/>
        <w:rPr>
          <w:sz w:val="20"/>
        </w:rPr>
      </w:pPr>
    </w:p>
    <w:p>
      <w:pPr>
        <w:pStyle w:val="5"/>
        <w:spacing w:before="1"/>
        <w:ind w:left="0"/>
        <w:rPr>
          <w:sz w:val="19"/>
        </w:rPr>
      </w:pPr>
    </w:p>
    <w:p>
      <w:pPr>
        <w:spacing w:before="0"/>
        <w:ind w:left="400" w:right="0" w:firstLine="0"/>
        <w:jc w:val="left"/>
        <w:rPr>
          <w:sz w:val="21"/>
        </w:rPr>
      </w:pPr>
      <w:r>
        <w:rPr>
          <w:sz w:val="21"/>
        </w:rPr>
        <w:t>说明</w:t>
      </w:r>
    </w:p>
    <w:p>
      <w:pPr>
        <w:spacing w:after="0"/>
        <w:jc w:val="left"/>
        <w:rPr>
          <w:sz w:val="21"/>
        </w:rPr>
        <w:sectPr>
          <w:pgSz w:w="11910" w:h="16840"/>
          <w:pgMar w:top="1380" w:right="580" w:bottom="1080" w:left="840" w:header="746" w:footer="891" w:gutter="0"/>
          <w:cols w:space="720" w:num="1"/>
        </w:sectPr>
      </w:pPr>
    </w:p>
    <w:p>
      <w:pPr>
        <w:pStyle w:val="5"/>
        <w:ind w:left="0"/>
        <w:rPr>
          <w:sz w:val="20"/>
        </w:rPr>
      </w:pPr>
    </w:p>
    <w:p>
      <w:pPr>
        <w:pStyle w:val="5"/>
        <w:spacing w:before="10"/>
        <w:ind w:left="0"/>
        <w:rPr>
          <w:sz w:val="20"/>
        </w:rPr>
      </w:pPr>
    </w:p>
    <w:p>
      <w:pPr>
        <w:pStyle w:val="4"/>
        <w:spacing w:before="66"/>
        <w:ind w:left="0" w:right="258"/>
        <w:jc w:val="center"/>
      </w:pPr>
      <w:bookmarkStart w:id="162" w:name="六、资格审查资料"/>
      <w:bookmarkEnd w:id="162"/>
      <w:r>
        <w:t>六、资格审查资料</w:t>
      </w:r>
    </w:p>
    <w:p>
      <w:pPr>
        <w:spacing w:after="0"/>
        <w:jc w:val="center"/>
        <w:sectPr>
          <w:pgSz w:w="11910" w:h="16840"/>
          <w:pgMar w:top="1380" w:right="580" w:bottom="1080" w:left="840" w:header="746" w:footer="891" w:gutter="0"/>
          <w:cols w:space="720" w:num="1"/>
        </w:sectPr>
      </w:pPr>
    </w:p>
    <w:p>
      <w:pPr>
        <w:pStyle w:val="5"/>
        <w:ind w:left="0"/>
        <w:rPr>
          <w:b/>
          <w:sz w:val="20"/>
        </w:rPr>
      </w:pPr>
    </w:p>
    <w:p>
      <w:pPr>
        <w:pStyle w:val="5"/>
        <w:spacing w:before="10"/>
        <w:ind w:left="0"/>
        <w:rPr>
          <w:b/>
          <w:sz w:val="20"/>
        </w:rPr>
      </w:pPr>
    </w:p>
    <w:p>
      <w:pPr>
        <w:pStyle w:val="4"/>
        <w:spacing w:before="66"/>
        <w:ind w:left="0" w:right="258"/>
        <w:jc w:val="center"/>
      </w:pPr>
      <w:bookmarkStart w:id="163" w:name="七、其 他 材 料"/>
      <w:bookmarkEnd w:id="163"/>
      <w:r>
        <w:t>七、其 他 材 料</w:t>
      </w:r>
    </w:p>
    <w:p>
      <w:pPr>
        <w:pStyle w:val="5"/>
        <w:ind w:left="0"/>
        <w:rPr>
          <w:b/>
        </w:rPr>
      </w:pPr>
    </w:p>
    <w:p>
      <w:pPr>
        <w:pStyle w:val="5"/>
        <w:ind w:left="0"/>
        <w:rPr>
          <w:b/>
        </w:rPr>
      </w:pPr>
    </w:p>
    <w:p>
      <w:pPr>
        <w:pStyle w:val="5"/>
        <w:spacing w:before="4"/>
        <w:ind w:left="0"/>
        <w:rPr>
          <w:b/>
          <w:sz w:val="21"/>
        </w:rPr>
      </w:pPr>
    </w:p>
    <w:p>
      <w:pPr>
        <w:pStyle w:val="5"/>
        <w:ind w:left="520"/>
      </w:pPr>
      <w:r>
        <w:t>1、投标人认为对评审有利的其他材料</w:t>
      </w:r>
    </w:p>
    <w:p>
      <w:pPr>
        <w:spacing w:after="0"/>
        <w:sectPr>
          <w:pgSz w:w="11910" w:h="16840"/>
          <w:pgMar w:top="1380" w:right="580" w:bottom="1080" w:left="840" w:header="746" w:footer="891" w:gutter="0"/>
          <w:cols w:space="720" w:num="1"/>
        </w:sectPr>
      </w:pPr>
    </w:p>
    <w:p>
      <w:pPr>
        <w:pStyle w:val="5"/>
        <w:spacing w:before="9"/>
        <w:ind w:left="0"/>
        <w:rPr>
          <w:sz w:val="19"/>
        </w:rPr>
      </w:pPr>
    </w:p>
    <w:p>
      <w:pPr>
        <w:tabs>
          <w:tab w:val="left" w:pos="1125"/>
          <w:tab w:val="left" w:pos="4168"/>
        </w:tabs>
        <w:spacing w:before="51"/>
        <w:ind w:left="0" w:right="261" w:firstLine="0"/>
        <w:jc w:val="center"/>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（项目名称）</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合同段施工招标</w:t>
      </w: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ind w:left="0"/>
        <w:rPr>
          <w:rFonts w:ascii="等线"/>
          <w:b/>
          <w:sz w:val="36"/>
        </w:rPr>
      </w:pPr>
    </w:p>
    <w:p>
      <w:pPr>
        <w:pStyle w:val="5"/>
        <w:spacing w:before="10"/>
        <w:ind w:left="0"/>
        <w:rPr>
          <w:rFonts w:ascii="等线"/>
          <w:b/>
          <w:sz w:val="53"/>
        </w:rPr>
      </w:pPr>
    </w:p>
    <w:p>
      <w:pPr>
        <w:tabs>
          <w:tab w:val="left" w:pos="1079"/>
          <w:tab w:val="left" w:pos="2159"/>
          <w:tab w:val="left" w:pos="3242"/>
        </w:tabs>
        <w:spacing w:before="1"/>
        <w:ind w:left="0" w:right="258" w:firstLine="0"/>
        <w:jc w:val="center"/>
        <w:rPr>
          <w:rFonts w:hint="eastAsia" w:ascii="等线" w:eastAsia="等线"/>
          <w:b/>
          <w:sz w:val="72"/>
        </w:rPr>
      </w:pPr>
      <w:r>
        <w:rPr>
          <w:rFonts w:hint="eastAsia" w:ascii="等线" w:eastAsia="等线"/>
          <w:b/>
          <w:sz w:val="72"/>
        </w:rPr>
        <w:t>投</w:t>
      </w:r>
      <w:r>
        <w:rPr>
          <w:rFonts w:hint="eastAsia" w:ascii="等线" w:eastAsia="等线"/>
          <w:b/>
          <w:sz w:val="72"/>
        </w:rPr>
        <w:tab/>
      </w:r>
      <w:r>
        <w:rPr>
          <w:rFonts w:hint="eastAsia" w:ascii="等线" w:eastAsia="等线"/>
          <w:b/>
          <w:sz w:val="72"/>
        </w:rPr>
        <w:t>标</w:t>
      </w:r>
      <w:r>
        <w:rPr>
          <w:rFonts w:hint="eastAsia" w:ascii="等线" w:eastAsia="等线"/>
          <w:b/>
          <w:sz w:val="72"/>
        </w:rPr>
        <w:tab/>
      </w:r>
      <w:r>
        <w:rPr>
          <w:rFonts w:hint="eastAsia" w:ascii="等线" w:eastAsia="等线"/>
          <w:b/>
          <w:sz w:val="72"/>
        </w:rPr>
        <w:t>文</w:t>
      </w:r>
      <w:r>
        <w:rPr>
          <w:rFonts w:hint="eastAsia" w:ascii="等线" w:eastAsia="等线"/>
          <w:b/>
          <w:sz w:val="72"/>
        </w:rPr>
        <w:tab/>
      </w:r>
      <w:r>
        <w:rPr>
          <w:rFonts w:hint="eastAsia" w:ascii="等线" w:eastAsia="等线"/>
          <w:b/>
          <w:sz w:val="72"/>
        </w:rPr>
        <w:t>件</w:t>
      </w:r>
    </w:p>
    <w:p>
      <w:pPr>
        <w:spacing w:before="417"/>
        <w:ind w:left="0" w:right="261" w:firstLine="0"/>
        <w:jc w:val="center"/>
        <w:rPr>
          <w:rFonts w:hint="eastAsia" w:ascii="等线" w:eastAsia="等线"/>
          <w:b/>
          <w:sz w:val="44"/>
        </w:rPr>
      </w:pPr>
      <w:r>
        <w:rPr>
          <w:b/>
          <w:sz w:val="44"/>
        </w:rPr>
        <w:t>(</w:t>
      </w:r>
      <w:r>
        <w:rPr>
          <w:rFonts w:hint="eastAsia" w:ascii="等线" w:eastAsia="等线"/>
          <w:b/>
          <w:sz w:val="44"/>
        </w:rPr>
        <w:t>报价文件）</w:t>
      </w: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ind w:left="0"/>
        <w:rPr>
          <w:rFonts w:ascii="等线"/>
          <w:b/>
          <w:sz w:val="48"/>
        </w:rPr>
      </w:pPr>
    </w:p>
    <w:p>
      <w:pPr>
        <w:pStyle w:val="5"/>
        <w:spacing w:before="9"/>
        <w:ind w:left="0"/>
        <w:rPr>
          <w:rFonts w:ascii="等线"/>
          <w:b/>
          <w:sz w:val="58"/>
        </w:rPr>
      </w:pPr>
    </w:p>
    <w:p>
      <w:pPr>
        <w:tabs>
          <w:tab w:val="left" w:pos="6287"/>
        </w:tabs>
        <w:spacing w:before="1"/>
        <w:ind w:left="2920" w:right="0" w:firstLine="0"/>
        <w:jc w:val="left"/>
        <w:rPr>
          <w:rFonts w:hint="eastAsia" w:ascii="等线" w:eastAsia="等线"/>
          <w:b/>
          <w:sz w:val="32"/>
        </w:rPr>
      </w:pPr>
      <w:r>
        <w:rPr>
          <w:rFonts w:hint="eastAsia" w:ascii="等线" w:eastAsia="等线"/>
          <w:b/>
          <w:sz w:val="32"/>
        </w:rPr>
        <w:t>投标人：</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（盖单位章）</w:t>
      </w:r>
    </w:p>
    <w:p>
      <w:pPr>
        <w:tabs>
          <w:tab w:val="left" w:pos="4365"/>
          <w:tab w:val="left" w:pos="5649"/>
          <w:tab w:val="left" w:pos="6611"/>
        </w:tabs>
        <w:spacing w:before="168"/>
        <w:ind w:left="3081" w:right="0" w:firstLine="0"/>
        <w:jc w:val="left"/>
        <w:rPr>
          <w:rFonts w:hint="eastAsia" w:ascii="等线" w:eastAsia="等线"/>
          <w:b/>
          <w:sz w:val="32"/>
        </w:rPr>
      </w:pPr>
      <w:r>
        <w:rPr>
          <w:rFonts w:ascii="Times New Roman" w:eastAsia="Times New Roman"/>
          <w:w w:val="99"/>
          <w:sz w:val="32"/>
          <w:u w:val="single"/>
        </w:rPr>
        <w:t xml:space="preserve"> </w:t>
      </w:r>
      <w:r>
        <w:rPr>
          <w:rFonts w:ascii="Times New Roman" w:eastAsia="Times New Roman"/>
          <w:sz w:val="32"/>
          <w:u w:val="single"/>
        </w:rPr>
        <w:tab/>
      </w:r>
      <w:r>
        <w:rPr>
          <w:rFonts w:hint="eastAsia" w:ascii="等线" w:eastAsia="等线"/>
          <w:b/>
          <w:sz w:val="32"/>
        </w:rPr>
        <w:t>年</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月</w:t>
      </w:r>
      <w:r>
        <w:rPr>
          <w:rFonts w:hint="eastAsia" w:ascii="等线" w:eastAsia="等线"/>
          <w:b/>
          <w:sz w:val="32"/>
          <w:u w:val="single"/>
        </w:rPr>
        <w:t xml:space="preserve"> </w:t>
      </w:r>
      <w:r>
        <w:rPr>
          <w:rFonts w:hint="eastAsia" w:ascii="等线" w:eastAsia="等线"/>
          <w:b/>
          <w:sz w:val="32"/>
          <w:u w:val="single"/>
        </w:rPr>
        <w:tab/>
      </w:r>
      <w:r>
        <w:rPr>
          <w:rFonts w:hint="eastAsia" w:ascii="等线" w:eastAsia="等线"/>
          <w:b/>
          <w:sz w:val="32"/>
        </w:rPr>
        <w:t>日</w:t>
      </w:r>
    </w:p>
    <w:p>
      <w:pPr>
        <w:spacing w:after="0"/>
        <w:jc w:val="left"/>
        <w:rPr>
          <w:rFonts w:hint="eastAsia" w:ascii="等线" w:eastAsia="等线"/>
          <w:sz w:val="32"/>
        </w:rPr>
        <w:sectPr>
          <w:pgSz w:w="11910" w:h="16840"/>
          <w:pgMar w:top="1380" w:right="580" w:bottom="1080" w:left="840" w:header="746" w:footer="891" w:gutter="0"/>
          <w:cols w:space="720" w:num="1"/>
        </w:sectPr>
      </w:pPr>
    </w:p>
    <w:p>
      <w:pPr>
        <w:pStyle w:val="5"/>
        <w:spacing w:before="9"/>
        <w:ind w:left="0"/>
        <w:rPr>
          <w:rFonts w:ascii="等线"/>
          <w:b/>
          <w:sz w:val="18"/>
        </w:rPr>
      </w:pPr>
    </w:p>
    <w:p>
      <w:pPr>
        <w:spacing w:before="49"/>
        <w:ind w:left="0" w:right="258" w:firstLine="0"/>
        <w:jc w:val="center"/>
        <w:rPr>
          <w:b/>
          <w:sz w:val="36"/>
        </w:rPr>
      </w:pPr>
      <w:r>
        <w:rPr>
          <w:b/>
          <w:sz w:val="36"/>
        </w:rPr>
        <w:t>目录</w:t>
      </w:r>
    </w:p>
    <w:p>
      <w:pPr>
        <w:pStyle w:val="5"/>
        <w:ind w:left="0"/>
        <w:rPr>
          <w:b/>
          <w:sz w:val="20"/>
        </w:rPr>
      </w:pPr>
    </w:p>
    <w:p>
      <w:pPr>
        <w:pStyle w:val="5"/>
        <w:spacing w:before="11"/>
        <w:ind w:left="0"/>
        <w:rPr>
          <w:b/>
          <w:sz w:val="29"/>
        </w:rPr>
      </w:pPr>
    </w:p>
    <w:p>
      <w:pPr>
        <w:pStyle w:val="5"/>
        <w:spacing w:before="67"/>
        <w:ind w:left="520"/>
      </w:pPr>
      <w:r>
        <w:t>一、投标函</w:t>
      </w:r>
    </w:p>
    <w:p>
      <w:pPr>
        <w:pStyle w:val="5"/>
        <w:spacing w:before="160" w:line="362" w:lineRule="auto"/>
        <w:ind w:left="520" w:right="7564"/>
      </w:pPr>
      <w:r>
        <w:t>二、已标价工程量清单三、合同用款估算表</w:t>
      </w:r>
    </w:p>
    <w:p>
      <w:pPr>
        <w:pStyle w:val="5"/>
        <w:ind w:left="0"/>
      </w:pPr>
    </w:p>
    <w:p>
      <w:pPr>
        <w:pStyle w:val="5"/>
        <w:ind w:left="0"/>
      </w:pPr>
    </w:p>
    <w:p>
      <w:pPr>
        <w:pStyle w:val="5"/>
        <w:ind w:left="0"/>
      </w:pPr>
    </w:p>
    <w:p>
      <w:pPr>
        <w:spacing w:before="173"/>
        <w:ind w:left="520" w:right="0" w:firstLine="0"/>
        <w:jc w:val="left"/>
        <w:rPr>
          <w:b/>
          <w:sz w:val="28"/>
        </w:rPr>
      </w:pPr>
      <w:r>
        <w:rPr>
          <w:b/>
          <w:sz w:val="28"/>
        </w:rPr>
        <w:t>备注：投标文件第二部分（报价文件）只允许包含本目录所列内容。</w:t>
      </w:r>
    </w:p>
    <w:p>
      <w:pPr>
        <w:spacing w:after="0"/>
        <w:jc w:val="left"/>
        <w:rPr>
          <w:sz w:val="28"/>
        </w:rPr>
        <w:sectPr>
          <w:pgSz w:w="11910" w:h="16840"/>
          <w:pgMar w:top="1380" w:right="580" w:bottom="1080" w:left="840" w:header="746" w:footer="891" w:gutter="0"/>
          <w:cols w:space="720" w:num="1"/>
        </w:sectPr>
      </w:pPr>
    </w:p>
    <w:p>
      <w:pPr>
        <w:pStyle w:val="5"/>
        <w:ind w:left="0"/>
        <w:rPr>
          <w:b/>
          <w:sz w:val="20"/>
        </w:rPr>
      </w:pPr>
    </w:p>
    <w:p>
      <w:pPr>
        <w:pStyle w:val="5"/>
        <w:spacing w:before="12"/>
        <w:ind w:left="0"/>
        <w:rPr>
          <w:b/>
          <w:sz w:val="28"/>
        </w:rPr>
      </w:pPr>
    </w:p>
    <w:p>
      <w:pPr>
        <w:spacing w:before="55"/>
        <w:ind w:left="0" w:right="261" w:firstLine="0"/>
        <w:jc w:val="center"/>
        <w:rPr>
          <w:b/>
          <w:sz w:val="32"/>
        </w:rPr>
      </w:pPr>
      <w:bookmarkStart w:id="164" w:name="一、投标函"/>
      <w:bookmarkEnd w:id="164"/>
      <w:r>
        <w:rPr>
          <w:b/>
          <w:sz w:val="32"/>
        </w:rPr>
        <w:t>一、投标函</w:t>
      </w:r>
    </w:p>
    <w:p>
      <w:pPr>
        <w:pStyle w:val="5"/>
        <w:ind w:left="0"/>
        <w:rPr>
          <w:b/>
          <w:sz w:val="20"/>
        </w:rPr>
      </w:pPr>
    </w:p>
    <w:p>
      <w:pPr>
        <w:pStyle w:val="5"/>
        <w:ind w:left="0"/>
        <w:rPr>
          <w:b/>
          <w:sz w:val="20"/>
        </w:rPr>
      </w:pPr>
    </w:p>
    <w:p>
      <w:pPr>
        <w:pStyle w:val="5"/>
        <w:ind w:left="0"/>
        <w:rPr>
          <w:b/>
          <w:sz w:val="20"/>
        </w:rPr>
      </w:pPr>
    </w:p>
    <w:p>
      <w:pPr>
        <w:pStyle w:val="5"/>
        <w:ind w:left="0"/>
        <w:rPr>
          <w:b/>
          <w:sz w:val="20"/>
        </w:rPr>
      </w:pPr>
    </w:p>
    <w:p>
      <w:pPr>
        <w:pStyle w:val="5"/>
        <w:spacing w:before="11"/>
        <w:ind w:left="0"/>
        <w:rPr>
          <w:b/>
          <w:sz w:val="23"/>
        </w:rPr>
      </w:pPr>
    </w:p>
    <w:p>
      <w:pPr>
        <w:pStyle w:val="5"/>
        <w:tabs>
          <w:tab w:val="left" w:pos="1960"/>
        </w:tabs>
        <w:spacing w:before="74"/>
        <w:ind w:left="520"/>
      </w:pPr>
      <w:r>
        <w:rPr>
          <w:rFonts w:ascii="Times New Roman" w:eastAsia="Times New Roman"/>
          <w:u w:val="single"/>
        </w:rPr>
        <w:t xml:space="preserve"> </w:t>
      </w:r>
      <w:r>
        <w:rPr>
          <w:rFonts w:ascii="Times New Roman" w:eastAsia="Times New Roman"/>
          <w:u w:val="single"/>
        </w:rPr>
        <w:tab/>
      </w:r>
      <w:r>
        <w:t>（招标人名称）：</w:t>
      </w:r>
    </w:p>
    <w:p>
      <w:pPr>
        <w:pStyle w:val="5"/>
        <w:ind w:left="0"/>
        <w:rPr>
          <w:sz w:val="26"/>
        </w:rPr>
      </w:pPr>
    </w:p>
    <w:p>
      <w:pPr>
        <w:pStyle w:val="5"/>
        <w:spacing w:before="11"/>
        <w:ind w:left="0"/>
        <w:rPr>
          <w:sz w:val="22"/>
        </w:rPr>
      </w:pPr>
    </w:p>
    <w:p>
      <w:pPr>
        <w:pStyle w:val="10"/>
        <w:numPr>
          <w:ilvl w:val="1"/>
          <w:numId w:val="129"/>
        </w:numPr>
        <w:tabs>
          <w:tab w:val="left" w:pos="1242"/>
          <w:tab w:val="left" w:pos="4631"/>
          <w:tab w:val="left" w:pos="6566"/>
          <w:tab w:val="left" w:pos="9465"/>
        </w:tabs>
        <w:spacing w:before="0" w:after="0" w:line="362" w:lineRule="auto"/>
        <w:ind w:left="520" w:right="779" w:firstLine="480"/>
        <w:jc w:val="left"/>
        <w:rPr>
          <w:sz w:val="24"/>
        </w:rPr>
      </w:pPr>
      <w:r>
        <w:rPr>
          <w:sz w:val="24"/>
        </w:rPr>
        <w:t>我方已仔细研究了</w:t>
      </w:r>
      <w:r>
        <w:rPr>
          <w:sz w:val="24"/>
          <w:u w:val="single"/>
        </w:rPr>
        <w:t xml:space="preserve"> </w:t>
      </w:r>
      <w:r>
        <w:rPr>
          <w:sz w:val="24"/>
          <w:u w:val="single"/>
        </w:rPr>
        <w:tab/>
      </w:r>
      <w:r>
        <w:rPr>
          <w:sz w:val="24"/>
        </w:rPr>
        <w:t>（项目名称）</w:t>
      </w:r>
      <w:r>
        <w:rPr>
          <w:sz w:val="24"/>
          <w:u w:val="single"/>
        </w:rPr>
        <w:t xml:space="preserve"> </w:t>
      </w:r>
      <w:r>
        <w:rPr>
          <w:sz w:val="24"/>
          <w:u w:val="single"/>
        </w:rPr>
        <w:tab/>
      </w:r>
      <w:r>
        <w:rPr>
          <w:sz w:val="24"/>
        </w:rPr>
        <w:t>合同段施工招标文件的全部</w:t>
      </w:r>
      <w:r>
        <w:rPr>
          <w:spacing w:val="-14"/>
          <w:sz w:val="24"/>
        </w:rPr>
        <w:t>内</w:t>
      </w:r>
      <w:r>
        <w:rPr>
          <w:spacing w:val="-10"/>
          <w:sz w:val="24"/>
        </w:rPr>
        <w:t>容</w:t>
      </w:r>
      <w:r>
        <w:rPr>
          <w:sz w:val="24"/>
        </w:rPr>
        <w:t>（含补遗书第</w:t>
      </w:r>
      <w:r>
        <w:rPr>
          <w:spacing w:val="119"/>
          <w:sz w:val="24"/>
        </w:rPr>
        <w:t xml:space="preserve"> </w:t>
      </w:r>
      <w:r>
        <w:rPr>
          <w:sz w:val="24"/>
        </w:rPr>
        <w:t>号至第</w:t>
      </w:r>
      <w:r>
        <w:rPr>
          <w:spacing w:val="119"/>
          <w:sz w:val="24"/>
        </w:rPr>
        <w:t xml:space="preserve"> </w:t>
      </w:r>
      <w:r>
        <w:rPr>
          <w:sz w:val="24"/>
        </w:rPr>
        <w:t>号</w:t>
      </w:r>
      <w:r>
        <w:rPr>
          <w:spacing w:val="-10"/>
          <w:sz w:val="24"/>
        </w:rPr>
        <w:t>），</w:t>
      </w:r>
      <w:r>
        <w:rPr>
          <w:sz w:val="24"/>
        </w:rPr>
        <w:t>在考察工程现场后</w:t>
      </w:r>
      <w:r>
        <w:rPr>
          <w:spacing w:val="-8"/>
          <w:sz w:val="24"/>
        </w:rPr>
        <w:t>，</w:t>
      </w:r>
      <w:r>
        <w:rPr>
          <w:sz w:val="24"/>
        </w:rPr>
        <w:t>愿意以人民</w:t>
      </w:r>
      <w:r>
        <w:rPr>
          <w:spacing w:val="-10"/>
          <w:sz w:val="24"/>
        </w:rPr>
        <w:t>币</w:t>
      </w:r>
      <w:r>
        <w:rPr>
          <w:sz w:val="24"/>
        </w:rPr>
        <w:t>（大写</w:t>
      </w:r>
      <w:r>
        <w:rPr>
          <w:spacing w:val="-11"/>
          <w:sz w:val="24"/>
        </w:rPr>
        <w:t>）</w:t>
      </w:r>
      <w:r>
        <w:rPr>
          <w:spacing w:val="-11"/>
          <w:sz w:val="24"/>
          <w:u w:val="single"/>
        </w:rPr>
        <w:t xml:space="preserve"> </w:t>
      </w:r>
      <w:r>
        <w:rPr>
          <w:spacing w:val="-11"/>
          <w:sz w:val="24"/>
          <w:u w:val="single"/>
        </w:rPr>
        <w:tab/>
      </w:r>
      <w:r>
        <w:rPr>
          <w:spacing w:val="-17"/>
          <w:sz w:val="24"/>
        </w:rPr>
        <w:t>元</w:t>
      </w:r>
    </w:p>
    <w:p>
      <w:pPr>
        <w:pStyle w:val="5"/>
        <w:tabs>
          <w:tab w:val="left" w:pos="1247"/>
          <w:tab w:val="left" w:pos="2320"/>
        </w:tabs>
        <w:spacing w:before="5" w:line="362" w:lineRule="auto"/>
        <w:ind w:left="520" w:right="779"/>
      </w:pPr>
      <w:r>
        <w:t>（¥</w:t>
      </w:r>
      <w:r>
        <w:rPr>
          <w:u w:val="single"/>
        </w:rPr>
        <w:t xml:space="preserve"> </w:t>
      </w:r>
      <w:r>
        <w:rPr>
          <w:u w:val="single"/>
        </w:rPr>
        <w:tab/>
      </w:r>
      <w:r>
        <w:t>）的投标总报价（或根据招标文件规定修正核实后确定的另一金额，其中，增值税税率为</w:t>
      </w:r>
      <w:r>
        <w:rPr>
          <w:u w:val="single"/>
        </w:rPr>
        <w:t xml:space="preserve"> </w:t>
      </w:r>
      <w:r>
        <w:rPr>
          <w:u w:val="single"/>
        </w:rPr>
        <w:tab/>
      </w:r>
      <w:r>
        <w:t>），按合同约定实施和完成承包工程，修补工程中的任何缺陷。</w:t>
      </w:r>
    </w:p>
    <w:p>
      <w:pPr>
        <w:pStyle w:val="10"/>
        <w:numPr>
          <w:ilvl w:val="1"/>
          <w:numId w:val="129"/>
        </w:numPr>
        <w:tabs>
          <w:tab w:val="left" w:pos="1242"/>
        </w:tabs>
        <w:spacing w:before="5" w:after="0" w:line="362" w:lineRule="auto"/>
        <w:ind w:left="520" w:right="782" w:firstLine="480"/>
        <w:jc w:val="left"/>
        <w:rPr>
          <w:sz w:val="24"/>
        </w:rPr>
      </w:pPr>
      <w:r>
        <w:rPr>
          <w:sz w:val="24"/>
        </w:rPr>
        <w:t>在合同协议书正式签署生效之前，本投标函连同你方的中标通知书将构成我们双方之间共同遵守的文件，对双方具有约束力。</w:t>
      </w:r>
    </w:p>
    <w:p>
      <w:pPr>
        <w:pStyle w:val="10"/>
        <w:numPr>
          <w:ilvl w:val="1"/>
          <w:numId w:val="129"/>
        </w:numPr>
        <w:tabs>
          <w:tab w:val="left" w:pos="4840"/>
          <w:tab w:val="left" w:pos="4841"/>
        </w:tabs>
        <w:spacing w:before="5" w:after="0" w:line="240" w:lineRule="auto"/>
        <w:ind w:left="4840" w:right="0" w:hanging="3841"/>
        <w:jc w:val="left"/>
        <w:rPr>
          <w:sz w:val="24"/>
        </w:rPr>
      </w:pPr>
      <w:r>
        <mc:AlternateContent>
          <mc:Choice Requires="wps">
            <w:drawing>
              <wp:anchor distT="0" distB="0" distL="114300" distR="114300" simplePos="0" relativeHeight="251717632" behindDoc="0" locked="0" layoutInCell="1" allowOverlap="1">
                <wp:simplePos x="0" y="0"/>
                <wp:positionH relativeFrom="page">
                  <wp:posOffset>1320800</wp:posOffset>
                </wp:positionH>
                <wp:positionV relativeFrom="paragraph">
                  <wp:posOffset>172720</wp:posOffset>
                </wp:positionV>
                <wp:extent cx="2286000" cy="0"/>
                <wp:effectExtent l="0" t="0" r="0" b="0"/>
                <wp:wrapNone/>
                <wp:docPr id="34" name="直线 33"/>
                <wp:cNvGraphicFramePr/>
                <a:graphic xmlns:a="http://schemas.openxmlformats.org/drawingml/2006/main">
                  <a:graphicData uri="http://schemas.microsoft.com/office/word/2010/wordprocessingShape">
                    <wps:wsp>
                      <wps:cNvCnPr/>
                      <wps:spPr>
                        <a:xfrm>
                          <a:off x="0" y="0"/>
                          <a:ext cx="22860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3" o:spid="_x0000_s1026" o:spt="20" style="position:absolute;left:0pt;margin-left:104pt;margin-top:13.6pt;height:0pt;width:180pt;mso-position-horizontal-relative:page;z-index:251717632;mso-width-relative:page;mso-height-relative:page;" filled="f" stroked="t" coordsize="21600,21600" o:gfxdata="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9+usNUA&#10;AAAJAQAADwAAAAAAAAABACAAAAAiAAAAZHJzL2Rvd25yZXYueG1sUEsBAhQAFAAAAAgAh07iQBSE&#10;n8HpAQAA3QMAAA4AAAAAAAAAAQAgAAAAJAEAAGRycy9lMm9Eb2MueG1sUEsFBgAAAAAGAAYAWQEA&#10;AH8FAAAAAA==&#10;">
                <v:fill on="f" focussize="0,0"/>
                <v:stroke weight="0.6pt" color="#000000" joinstyle="round"/>
                <v:imagedata o:title=""/>
                <o:lock v:ext="edit" aspectratio="f"/>
              </v:line>
            </w:pict>
          </mc:Fallback>
        </mc:AlternateContent>
      </w:r>
      <w:r>
        <w:rPr>
          <w:sz w:val="24"/>
        </w:rPr>
        <w:t>（其他补充说明）。</w:t>
      </w:r>
    </w:p>
    <w:p>
      <w:pPr>
        <w:pStyle w:val="5"/>
        <w:ind w:left="0"/>
      </w:pPr>
    </w:p>
    <w:p>
      <w:pPr>
        <w:pStyle w:val="5"/>
        <w:ind w:left="0"/>
      </w:pPr>
    </w:p>
    <w:p>
      <w:pPr>
        <w:pStyle w:val="5"/>
        <w:ind w:left="0"/>
      </w:pPr>
    </w:p>
    <w:p>
      <w:pPr>
        <w:pStyle w:val="5"/>
        <w:tabs>
          <w:tab w:val="left" w:pos="7600"/>
        </w:tabs>
        <w:spacing w:before="172"/>
        <w:ind w:left="3640"/>
        <w:jc w:val="both"/>
      </w:pPr>
      <w:r>
        <mc:AlternateContent>
          <mc:Choice Requires="wps">
            <w:drawing>
              <wp:anchor distT="0" distB="0" distL="114300" distR="114300" simplePos="0" relativeHeight="251685888" behindDoc="1" locked="0" layoutInCell="1" allowOverlap="1">
                <wp:simplePos x="0" y="0"/>
                <wp:positionH relativeFrom="page">
                  <wp:posOffset>3606800</wp:posOffset>
                </wp:positionH>
                <wp:positionV relativeFrom="paragraph">
                  <wp:posOffset>277495</wp:posOffset>
                </wp:positionV>
                <wp:extent cx="1752600" cy="0"/>
                <wp:effectExtent l="0" t="0" r="0" b="0"/>
                <wp:wrapNone/>
                <wp:docPr id="14" name="直线 34"/>
                <wp:cNvGraphicFramePr/>
                <a:graphic xmlns:a="http://schemas.openxmlformats.org/drawingml/2006/main">
                  <a:graphicData uri="http://schemas.microsoft.com/office/word/2010/wordprocessingShape">
                    <wps:wsp>
                      <wps:cNvCnPr/>
                      <wps:spPr>
                        <a:xfrm>
                          <a:off x="0" y="0"/>
                          <a:ext cx="17526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4" o:spid="_x0000_s1026" o:spt="20" style="position:absolute;left:0pt;margin-left:284pt;margin-top:21.85pt;height:0pt;width:138pt;mso-position-horizontal-relative:page;z-index:-251630592;mso-width-relative:page;mso-height-relative:page;" filled="f" stroked="t" coordsize="21600,21600" o:gfxdata="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3Qb0jW&#10;AAAACQEAAA8AAAAAAAAAAQAgAAAAIgAAAGRycy9kb3ducmV2LnhtbFBLAQIUABQAAAAIAIdO4kDG&#10;wDid6QEAAN0DAAAOAAAAAAAAAAEAIAAAACUBAABkcnMvZTJvRG9jLnhtbFBLBQYAAAAABgAGAFkB&#10;AACABQAAAAA=&#10;">
                <v:fill on="f" focussize="0,0"/>
                <v:stroke weight="0.6pt" color="#000000" joinstyle="round"/>
                <v:imagedata o:title=""/>
                <o:lock v:ext="edit" aspectratio="f"/>
              </v:line>
            </w:pict>
          </mc:Fallback>
        </mc:AlternateContent>
      </w:r>
      <w:r>
        <w:t>投 标 人：</w:t>
      </w:r>
      <w:r>
        <w:tab/>
      </w:r>
      <w:r>
        <w:t>（盖单位章）</w:t>
      </w:r>
    </w:p>
    <w:p>
      <w:pPr>
        <w:pStyle w:val="5"/>
        <w:tabs>
          <w:tab w:val="left" w:pos="8080"/>
          <w:tab w:val="left" w:pos="8979"/>
        </w:tabs>
        <w:spacing w:before="158" w:line="364" w:lineRule="auto"/>
        <w:ind w:left="3640" w:right="1444"/>
        <w:jc w:val="both"/>
        <w:rPr>
          <w:rFonts w:ascii="Times New Roman" w:eastAsia="Times New Roman"/>
        </w:rPr>
      </w:pPr>
      <w:r>
        <w:t>法定代表人或其委托代理人：</w:t>
      </w:r>
      <w:r>
        <w:rPr>
          <w:u w:val="single"/>
        </w:rPr>
        <w:t xml:space="preserve"> </w:t>
      </w:r>
      <w:r>
        <w:rPr>
          <w:u w:val="single"/>
        </w:rPr>
        <w:tab/>
      </w:r>
      <w:r>
        <w:t>（签字</w:t>
      </w:r>
      <w:r>
        <w:rPr>
          <w:spacing w:val="-17"/>
        </w:rPr>
        <w:t xml:space="preserve">） </w:t>
      </w:r>
      <w:r>
        <w:rPr>
          <w:spacing w:val="-1"/>
        </w:rPr>
        <w:t>地</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网</w:t>
      </w:r>
      <w:r>
        <w:t>址：</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电</w:t>
      </w:r>
      <w:r>
        <w:t>话：</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传</w:t>
      </w:r>
      <w:r>
        <w:t>真：</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spacing w:val="-1"/>
          <w:u w:val="single"/>
        </w:rPr>
        <w:t xml:space="preserve">                                    </w:t>
      </w:r>
      <w:r>
        <w:rPr>
          <w:rFonts w:ascii="Times New Roman" w:eastAsia="Times New Roman"/>
          <w:spacing w:val="36"/>
          <w:u w:val="single"/>
        </w:rPr>
        <w:t xml:space="preserve"> </w:t>
      </w:r>
      <w:r>
        <w:rPr>
          <w:spacing w:val="-1"/>
        </w:rPr>
        <w:t>邮</w:t>
      </w:r>
      <w:r>
        <w:t>政编码：</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p>
    <w:p>
      <w:pPr>
        <w:pStyle w:val="5"/>
        <w:ind w:left="0"/>
        <w:rPr>
          <w:rFonts w:ascii="Times New Roman"/>
          <w:sz w:val="20"/>
        </w:rPr>
      </w:pPr>
    </w:p>
    <w:p>
      <w:pPr>
        <w:pStyle w:val="5"/>
        <w:spacing w:before="4"/>
        <w:ind w:left="0"/>
        <w:rPr>
          <w:rFonts w:ascii="Times New Roman"/>
          <w:sz w:val="20"/>
        </w:rPr>
      </w:pPr>
    </w:p>
    <w:p>
      <w:pPr>
        <w:pStyle w:val="5"/>
        <w:tabs>
          <w:tab w:val="left" w:pos="7240"/>
          <w:tab w:val="left" w:pos="7960"/>
          <w:tab w:val="left" w:pos="8680"/>
        </w:tabs>
        <w:ind w:left="6520"/>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日</w:t>
      </w:r>
    </w:p>
    <w:p>
      <w:pPr>
        <w:spacing w:after="0"/>
        <w:sectPr>
          <w:pgSz w:w="11910" w:h="16840"/>
          <w:pgMar w:top="1380" w:right="580" w:bottom="1080" w:left="840" w:header="746" w:footer="891" w:gutter="0"/>
          <w:cols w:space="720" w:num="1"/>
        </w:sectPr>
      </w:pPr>
    </w:p>
    <w:p>
      <w:pPr>
        <w:pStyle w:val="5"/>
        <w:ind w:left="0"/>
        <w:rPr>
          <w:sz w:val="20"/>
        </w:rPr>
      </w:pPr>
    </w:p>
    <w:p>
      <w:pPr>
        <w:pStyle w:val="5"/>
        <w:spacing w:before="11"/>
        <w:ind w:left="0"/>
        <w:rPr>
          <w:sz w:val="21"/>
        </w:rPr>
      </w:pPr>
    </w:p>
    <w:p>
      <w:pPr>
        <w:spacing w:before="54"/>
        <w:ind w:left="0" w:right="261" w:firstLine="0"/>
        <w:jc w:val="center"/>
        <w:rPr>
          <w:b/>
          <w:sz w:val="32"/>
        </w:rPr>
      </w:pPr>
      <w:bookmarkStart w:id="165" w:name="二、已标价工程量清单"/>
      <w:bookmarkEnd w:id="165"/>
      <w:r>
        <w:rPr>
          <w:b/>
          <w:sz w:val="32"/>
        </w:rPr>
        <w:t>二、已标价工程量清单</w:t>
      </w:r>
    </w:p>
    <w:p>
      <w:pPr>
        <w:pStyle w:val="5"/>
        <w:ind w:left="0"/>
        <w:rPr>
          <w:b/>
          <w:sz w:val="32"/>
        </w:rPr>
      </w:pPr>
    </w:p>
    <w:p>
      <w:pPr>
        <w:pStyle w:val="5"/>
        <w:ind w:left="0"/>
        <w:rPr>
          <w:b/>
          <w:sz w:val="32"/>
        </w:rPr>
      </w:pPr>
    </w:p>
    <w:p>
      <w:pPr>
        <w:pStyle w:val="5"/>
        <w:spacing w:before="5"/>
        <w:ind w:left="0"/>
        <w:rPr>
          <w:b/>
          <w:sz w:val="36"/>
        </w:rPr>
      </w:pPr>
    </w:p>
    <w:p>
      <w:pPr>
        <w:spacing w:before="0" w:line="364" w:lineRule="auto"/>
        <w:ind w:left="520" w:right="672" w:firstLine="427"/>
        <w:jc w:val="left"/>
        <w:rPr>
          <w:sz w:val="21"/>
        </w:rPr>
      </w:pPr>
      <w:r>
        <w:rPr>
          <w:spacing w:val="-4"/>
          <w:sz w:val="21"/>
        </w:rPr>
        <w:t xml:space="preserve">投标人应按照第五章“工程量清单”的要求逐项填报工程量清单，包括工程量清单说明、投   </w:t>
      </w:r>
      <w:r>
        <w:rPr>
          <w:spacing w:val="-6"/>
          <w:sz w:val="21"/>
        </w:rPr>
        <w:t>标报价说明、计日工说明、其他说明及工程量清单各项表格</w:t>
      </w:r>
      <w:r>
        <w:rPr>
          <w:sz w:val="21"/>
        </w:rPr>
        <w:t>（</w:t>
      </w:r>
      <w:r>
        <w:rPr>
          <w:spacing w:val="-3"/>
          <w:sz w:val="21"/>
        </w:rPr>
        <w:t>投标报价汇总表、工程量清单表</w:t>
      </w:r>
      <w:r>
        <w:rPr>
          <w:spacing w:val="-62"/>
          <w:sz w:val="21"/>
        </w:rPr>
        <w:t>）</w:t>
      </w:r>
      <w:r>
        <w:rPr>
          <w:sz w:val="21"/>
        </w:rPr>
        <w:t>。</w:t>
      </w:r>
    </w:p>
    <w:p>
      <w:pPr>
        <w:spacing w:after="0" w:line="364" w:lineRule="auto"/>
        <w:jc w:val="left"/>
        <w:rPr>
          <w:sz w:val="21"/>
        </w:rPr>
        <w:sectPr>
          <w:pgSz w:w="11910" w:h="16840"/>
          <w:pgMar w:top="1380" w:right="580" w:bottom="1080" w:left="840" w:header="746" w:footer="891" w:gutter="0"/>
          <w:cols w:space="720" w:num="1"/>
        </w:sectPr>
      </w:pPr>
    </w:p>
    <w:p>
      <w:pPr>
        <w:pStyle w:val="5"/>
        <w:ind w:left="0"/>
        <w:rPr>
          <w:sz w:val="20"/>
        </w:rPr>
      </w:pPr>
    </w:p>
    <w:p>
      <w:pPr>
        <w:pStyle w:val="5"/>
        <w:ind w:left="0"/>
        <w:rPr>
          <w:sz w:val="20"/>
        </w:rPr>
      </w:pPr>
    </w:p>
    <w:p>
      <w:pPr>
        <w:spacing w:before="212"/>
        <w:ind w:left="0" w:right="261" w:firstLine="0"/>
        <w:jc w:val="center"/>
        <w:rPr>
          <w:b/>
          <w:sz w:val="32"/>
        </w:rPr>
      </w:pPr>
      <w:bookmarkStart w:id="166" w:name="三、合同用款估算表"/>
      <w:bookmarkEnd w:id="166"/>
      <w:r>
        <w:rPr>
          <w:b/>
          <w:sz w:val="32"/>
        </w:rPr>
        <w:t>三、合同用款估算表</w:t>
      </w:r>
    </w:p>
    <w:p>
      <w:pPr>
        <w:pStyle w:val="5"/>
        <w:ind w:left="0"/>
        <w:rPr>
          <w:b/>
          <w:sz w:val="20"/>
        </w:rPr>
      </w:pPr>
    </w:p>
    <w:p>
      <w:pPr>
        <w:pStyle w:val="5"/>
        <w:ind w:left="0"/>
        <w:rPr>
          <w:b/>
          <w:sz w:val="20"/>
        </w:rPr>
      </w:pPr>
    </w:p>
    <w:p>
      <w:pPr>
        <w:pStyle w:val="5"/>
        <w:spacing w:before="3"/>
        <w:ind w:left="0"/>
        <w:rPr>
          <w:b/>
          <w:sz w:val="10"/>
        </w:rPr>
      </w:pPr>
    </w:p>
    <w:tbl>
      <w:tblPr>
        <w:tblStyle w:val="7"/>
        <w:tblW w:w="0" w:type="auto"/>
        <w:tblInd w:w="42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17"/>
        <w:gridCol w:w="1997"/>
        <w:gridCol w:w="1731"/>
        <w:gridCol w:w="1731"/>
        <w:gridCol w:w="1731"/>
        <w:gridCol w:w="173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4" w:hRule="atLeast"/>
        </w:trPr>
        <w:tc>
          <w:tcPr>
            <w:tcW w:w="2714" w:type="dxa"/>
            <w:gridSpan w:val="2"/>
            <w:vMerge w:val="restart"/>
            <w:tcBorders>
              <w:bottom w:val="single" w:color="000000" w:sz="6" w:space="0"/>
              <w:right w:val="single" w:color="000000" w:sz="6" w:space="0"/>
            </w:tcBorders>
          </w:tcPr>
          <w:p>
            <w:pPr>
              <w:pStyle w:val="11"/>
              <w:rPr>
                <w:b/>
                <w:sz w:val="20"/>
              </w:rPr>
            </w:pPr>
          </w:p>
          <w:p>
            <w:pPr>
              <w:pStyle w:val="11"/>
              <w:spacing w:before="1"/>
              <w:rPr>
                <w:b/>
                <w:sz w:val="16"/>
              </w:rPr>
            </w:pPr>
          </w:p>
          <w:p>
            <w:pPr>
              <w:pStyle w:val="11"/>
              <w:ind w:left="107"/>
              <w:rPr>
                <w:sz w:val="21"/>
              </w:rPr>
            </w:pPr>
            <w:r>
              <w:rPr>
                <w:sz w:val="21"/>
              </w:rPr>
              <w:t>从开工月算起的时间（月）</w:t>
            </w:r>
          </w:p>
        </w:tc>
        <w:tc>
          <w:tcPr>
            <w:tcW w:w="6925" w:type="dxa"/>
            <w:gridSpan w:val="4"/>
            <w:tcBorders>
              <w:left w:val="single" w:color="000000" w:sz="6" w:space="0"/>
              <w:bottom w:val="single" w:color="000000" w:sz="6" w:space="0"/>
            </w:tcBorders>
          </w:tcPr>
          <w:p>
            <w:pPr>
              <w:pStyle w:val="11"/>
              <w:spacing w:before="9"/>
              <w:ind w:left="2817" w:right="2784"/>
              <w:jc w:val="center"/>
              <w:rPr>
                <w:sz w:val="21"/>
              </w:rPr>
            </w:pPr>
            <w:r>
              <w:rPr>
                <w:sz w:val="21"/>
              </w:rPr>
              <w:t>投标人的估算</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8" w:hRule="atLeast"/>
        </w:trPr>
        <w:tc>
          <w:tcPr>
            <w:tcW w:w="2714" w:type="dxa"/>
            <w:gridSpan w:val="2"/>
            <w:vMerge w:val="continue"/>
            <w:tcBorders>
              <w:top w:val="nil"/>
              <w:bottom w:val="single" w:color="000000" w:sz="6" w:space="0"/>
              <w:right w:val="single" w:color="000000" w:sz="6" w:space="0"/>
            </w:tcBorders>
          </w:tcPr>
          <w:p>
            <w:pPr>
              <w:rPr>
                <w:sz w:val="2"/>
                <w:szCs w:val="2"/>
              </w:rPr>
            </w:pPr>
          </w:p>
        </w:tc>
        <w:tc>
          <w:tcPr>
            <w:tcW w:w="3462" w:type="dxa"/>
            <w:gridSpan w:val="2"/>
            <w:tcBorders>
              <w:top w:val="single" w:color="000000" w:sz="6" w:space="0"/>
              <w:left w:val="single" w:color="000000" w:sz="6" w:space="0"/>
              <w:bottom w:val="single" w:color="000000" w:sz="6" w:space="0"/>
              <w:right w:val="single" w:color="000000" w:sz="6" w:space="0"/>
            </w:tcBorders>
          </w:tcPr>
          <w:p>
            <w:pPr>
              <w:pStyle w:val="11"/>
              <w:tabs>
                <w:tab w:val="left" w:pos="448"/>
              </w:tabs>
              <w:spacing w:before="16"/>
              <w:ind w:left="28"/>
              <w:jc w:val="center"/>
              <w:rPr>
                <w:sz w:val="21"/>
              </w:rPr>
            </w:pPr>
            <w:r>
              <w:rPr>
                <w:sz w:val="21"/>
              </w:rPr>
              <w:t>分</w:t>
            </w:r>
            <w:r>
              <w:rPr>
                <w:sz w:val="21"/>
              </w:rPr>
              <w:tab/>
            </w:r>
            <w:r>
              <w:rPr>
                <w:sz w:val="21"/>
              </w:rPr>
              <w:t>期</w:t>
            </w:r>
          </w:p>
        </w:tc>
        <w:tc>
          <w:tcPr>
            <w:tcW w:w="3463" w:type="dxa"/>
            <w:gridSpan w:val="2"/>
            <w:tcBorders>
              <w:top w:val="single" w:color="000000" w:sz="6" w:space="0"/>
              <w:left w:val="single" w:color="000000" w:sz="6" w:space="0"/>
              <w:bottom w:val="single" w:color="000000" w:sz="6" w:space="0"/>
            </w:tcBorders>
          </w:tcPr>
          <w:p>
            <w:pPr>
              <w:pStyle w:val="11"/>
              <w:tabs>
                <w:tab w:val="left" w:pos="452"/>
              </w:tabs>
              <w:spacing w:before="16"/>
              <w:ind w:left="32"/>
              <w:jc w:val="center"/>
              <w:rPr>
                <w:sz w:val="21"/>
              </w:rPr>
            </w:pPr>
            <w:r>
              <w:rPr>
                <w:sz w:val="21"/>
              </w:rPr>
              <w:t>累</w:t>
            </w:r>
            <w:r>
              <w:rPr>
                <w:sz w:val="21"/>
              </w:rPr>
              <w:tab/>
            </w:r>
            <w:r>
              <w:rPr>
                <w:sz w:val="21"/>
              </w:rPr>
              <w:t>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2714" w:type="dxa"/>
            <w:gridSpan w:val="2"/>
            <w:vMerge w:val="continue"/>
            <w:tcBorders>
              <w:top w:val="nil"/>
              <w:bottom w:val="single" w:color="000000" w:sz="6" w:space="0"/>
              <w:right w:val="single" w:color="000000" w:sz="6" w:space="0"/>
            </w:tcBorders>
          </w:tcPr>
          <w:p>
            <w:pPr>
              <w:rPr>
                <w:sz w:val="2"/>
                <w:szCs w:val="2"/>
              </w:rPr>
            </w:pP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347"/>
              <w:rPr>
                <w:sz w:val="21"/>
              </w:rPr>
            </w:pPr>
            <w:r>
              <w:rPr>
                <w:sz w:val="21"/>
              </w:rPr>
              <w:t>金额（元）</w:t>
            </w: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483" w:right="456"/>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15"/>
              <w:ind w:left="346"/>
              <w:rPr>
                <w:sz w:val="21"/>
              </w:rPr>
            </w:pPr>
            <w:r>
              <w:rPr>
                <w:sz w:val="21"/>
              </w:rPr>
              <w:t>金额（元）</w:t>
            </w:r>
          </w:p>
        </w:tc>
        <w:tc>
          <w:tcPr>
            <w:tcW w:w="1732" w:type="dxa"/>
            <w:tcBorders>
              <w:top w:val="single" w:color="000000" w:sz="6" w:space="0"/>
              <w:left w:val="single" w:color="000000" w:sz="6" w:space="0"/>
              <w:bottom w:val="single" w:color="000000" w:sz="6" w:space="0"/>
            </w:tcBorders>
          </w:tcPr>
          <w:p>
            <w:pPr>
              <w:pStyle w:val="11"/>
              <w:spacing w:before="15"/>
              <w:ind w:left="589" w:right="555"/>
              <w:jc w:val="center"/>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515"/>
              <w:rPr>
                <w:sz w:val="21"/>
              </w:rPr>
            </w:pPr>
            <w:r>
              <w:rPr>
                <w:sz w:val="21"/>
              </w:rPr>
              <w:t>第一次开工预付款</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2714" w:type="dxa"/>
            <w:gridSpan w:val="2"/>
            <w:tcBorders>
              <w:top w:val="single" w:color="000000" w:sz="6" w:space="0"/>
              <w:bottom w:val="single" w:color="000000" w:sz="6" w:space="0"/>
              <w:right w:val="single" w:color="000000" w:sz="6" w:space="0"/>
            </w:tcBorders>
          </w:tcPr>
          <w:p>
            <w:pPr>
              <w:pStyle w:val="11"/>
              <w:spacing w:before="69"/>
              <w:ind w:left="1020" w:right="1000"/>
              <w:jc w:val="center"/>
              <w:rPr>
                <w:sz w:val="21"/>
              </w:rPr>
            </w:pPr>
            <w:r>
              <w:rPr>
                <w:sz w:val="21"/>
              </w:rPr>
              <w:t>1～3</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1020" w:right="1000"/>
              <w:jc w:val="center"/>
              <w:rPr>
                <w:sz w:val="21"/>
              </w:rPr>
            </w:pPr>
            <w:r>
              <w:rPr>
                <w:sz w:val="21"/>
              </w:rPr>
              <w:t>4～6</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20" w:right="1000"/>
              <w:jc w:val="center"/>
              <w:rPr>
                <w:sz w:val="21"/>
              </w:rPr>
            </w:pPr>
            <w:r>
              <w:rPr>
                <w:sz w:val="21"/>
              </w:rPr>
              <w:t>7～9</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2714" w:type="dxa"/>
            <w:gridSpan w:val="2"/>
            <w:tcBorders>
              <w:top w:val="single" w:color="000000" w:sz="6" w:space="0"/>
              <w:bottom w:val="single" w:color="000000" w:sz="6" w:space="0"/>
              <w:right w:val="single" w:color="000000" w:sz="6" w:space="0"/>
            </w:tcBorders>
          </w:tcPr>
          <w:p>
            <w:pPr>
              <w:pStyle w:val="11"/>
              <w:spacing w:before="68"/>
              <w:ind w:left="1020" w:right="1000"/>
              <w:jc w:val="center"/>
              <w:rPr>
                <w:sz w:val="21"/>
              </w:rPr>
            </w:pPr>
            <w:r>
              <w:rPr>
                <w:sz w:val="21"/>
              </w:rPr>
              <w:t>10～12</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20" w:right="1000"/>
              <w:jc w:val="center"/>
              <w:rPr>
                <w:sz w:val="21"/>
              </w:rPr>
            </w:pPr>
            <w:r>
              <w:rPr>
                <w:sz w:val="21"/>
              </w:rPr>
              <w:t>13～15</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1019" w:right="1000"/>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19" w:right="1000"/>
              <w:jc w:val="center"/>
              <w:rPr>
                <w:sz w:val="21"/>
              </w:rPr>
            </w:pPr>
            <w:r>
              <w:rPr>
                <w:sz w:val="21"/>
              </w:rPr>
              <w:t>……</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0"/>
              <w:ind w:left="832"/>
              <w:rPr>
                <w:sz w:val="21"/>
              </w:rPr>
            </w:pPr>
            <w:r>
              <w:rPr>
                <w:sz w:val="21"/>
              </w:rPr>
              <w:t>缺陷责任期</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714" w:type="dxa"/>
            <w:gridSpan w:val="2"/>
            <w:tcBorders>
              <w:top w:val="single" w:color="000000" w:sz="6" w:space="0"/>
              <w:bottom w:val="single" w:color="000000" w:sz="6" w:space="0"/>
              <w:right w:val="single" w:color="000000" w:sz="6" w:space="0"/>
            </w:tcBorders>
          </w:tcPr>
          <w:p>
            <w:pPr>
              <w:pStyle w:val="11"/>
              <w:spacing w:before="81"/>
              <w:ind w:left="1019" w:right="1000"/>
              <w:jc w:val="center"/>
              <w:rPr>
                <w:sz w:val="21"/>
              </w:rPr>
            </w:pPr>
            <w:r>
              <w:rPr>
                <w:sz w:val="21"/>
              </w:rPr>
              <w:t>小计</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1" w:type="dxa"/>
            <w:tcBorders>
              <w:top w:val="single" w:color="000000" w:sz="6" w:space="0"/>
              <w:left w:val="single" w:color="000000" w:sz="6" w:space="0"/>
              <w:bottom w:val="single" w:color="000000" w:sz="6" w:space="0"/>
              <w:right w:val="single" w:color="000000" w:sz="6" w:space="0"/>
            </w:tcBorders>
          </w:tcPr>
          <w:p>
            <w:pPr>
              <w:pStyle w:val="11"/>
              <w:spacing w:before="81"/>
              <w:ind w:left="484" w:right="456"/>
              <w:jc w:val="center"/>
              <w:rPr>
                <w:sz w:val="21"/>
              </w:rPr>
            </w:pPr>
            <w:r>
              <w:rPr>
                <w:sz w:val="21"/>
              </w:rPr>
              <w:t>100．00</w:t>
            </w:r>
          </w:p>
        </w:tc>
        <w:tc>
          <w:tcPr>
            <w:tcW w:w="1731" w:type="dxa"/>
            <w:tcBorders>
              <w:top w:val="single" w:color="000000" w:sz="6" w:space="0"/>
              <w:left w:val="single" w:color="000000" w:sz="6" w:space="0"/>
              <w:bottom w:val="single" w:color="000000" w:sz="6" w:space="0"/>
              <w:right w:val="single" w:color="000000" w:sz="6" w:space="0"/>
            </w:tcBorders>
          </w:tcPr>
          <w:p>
            <w:pPr>
              <w:pStyle w:val="11"/>
              <w:rPr>
                <w:rFonts w:ascii="Times New Roman"/>
                <w:sz w:val="20"/>
              </w:rPr>
            </w:pPr>
          </w:p>
        </w:tc>
        <w:tc>
          <w:tcPr>
            <w:tcW w:w="1732" w:type="dxa"/>
            <w:tcBorders>
              <w:top w:val="single" w:color="000000" w:sz="6" w:space="0"/>
              <w:left w:val="single" w:color="000000" w:sz="6" w:space="0"/>
              <w:bottom w:val="single" w:color="000000" w:sz="6" w:space="0"/>
            </w:tcBorders>
          </w:tcPr>
          <w:p>
            <w:pPr>
              <w:pStyle w:val="1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2" w:hRule="atLeast"/>
        </w:trPr>
        <w:tc>
          <w:tcPr>
            <w:tcW w:w="9639" w:type="dxa"/>
            <w:gridSpan w:val="6"/>
            <w:tcBorders>
              <w:top w:val="single" w:color="000000" w:sz="6" w:space="0"/>
              <w:bottom w:val="single" w:color="000000" w:sz="6" w:space="0"/>
            </w:tcBorders>
          </w:tcPr>
          <w:p>
            <w:pPr>
              <w:pStyle w:val="11"/>
              <w:spacing w:before="68"/>
              <w:ind w:left="107"/>
              <w:rPr>
                <w:sz w:val="21"/>
              </w:rPr>
            </w:pPr>
            <w:r>
              <w:rPr>
                <w:sz w:val="21"/>
              </w:rPr>
              <w:t>投标价：</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14" w:hRule="atLeast"/>
        </w:trPr>
        <w:tc>
          <w:tcPr>
            <w:tcW w:w="717" w:type="dxa"/>
            <w:tcBorders>
              <w:top w:val="single" w:color="000000" w:sz="6" w:space="0"/>
              <w:right w:val="single" w:color="000000" w:sz="6" w:space="0"/>
            </w:tcBorders>
          </w:tcPr>
          <w:p>
            <w:pPr>
              <w:pStyle w:val="11"/>
              <w:spacing w:before="79"/>
              <w:ind w:left="16"/>
              <w:jc w:val="center"/>
              <w:rPr>
                <w:sz w:val="21"/>
              </w:rPr>
            </w:pPr>
            <w:r>
              <w:rPr>
                <w:w w:val="99"/>
                <w:sz w:val="21"/>
              </w:rPr>
              <w:t>说</w:t>
            </w: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rPr>
                <w:b/>
                <w:sz w:val="20"/>
              </w:rPr>
            </w:pPr>
          </w:p>
          <w:p>
            <w:pPr>
              <w:pStyle w:val="11"/>
              <w:spacing w:before="131"/>
              <w:ind w:left="16"/>
              <w:jc w:val="center"/>
              <w:rPr>
                <w:sz w:val="21"/>
              </w:rPr>
            </w:pPr>
            <w:r>
              <w:rPr>
                <w:w w:val="99"/>
                <w:sz w:val="21"/>
              </w:rPr>
              <w:t>明</w:t>
            </w:r>
          </w:p>
        </w:tc>
        <w:tc>
          <w:tcPr>
            <w:tcW w:w="8922" w:type="dxa"/>
            <w:gridSpan w:val="5"/>
            <w:tcBorders>
              <w:top w:val="single" w:color="000000" w:sz="6" w:space="0"/>
              <w:left w:val="single" w:color="000000" w:sz="6" w:space="0"/>
            </w:tcBorders>
          </w:tcPr>
          <w:p>
            <w:pPr>
              <w:pStyle w:val="11"/>
              <w:rPr>
                <w:rFonts w:ascii="Times New Roman"/>
                <w:sz w:val="20"/>
              </w:rPr>
            </w:pPr>
          </w:p>
        </w:tc>
      </w:tr>
    </w:tbl>
    <w:p>
      <w:pPr>
        <w:pStyle w:val="5"/>
        <w:spacing w:before="7"/>
        <w:ind w:left="0"/>
        <w:rPr>
          <w:b/>
          <w:sz w:val="36"/>
        </w:rPr>
      </w:pPr>
    </w:p>
    <w:p>
      <w:pPr>
        <w:spacing w:before="1"/>
        <w:ind w:left="520" w:right="0" w:firstLine="0"/>
        <w:jc w:val="left"/>
        <w:rPr>
          <w:sz w:val="21"/>
        </w:rPr>
      </w:pPr>
      <w:r>
        <w:rPr>
          <w:sz w:val="21"/>
        </w:rPr>
        <w:t>注：1.投标人可按附表一的工程进度估算并填写本表。</w:t>
      </w:r>
    </w:p>
    <w:p>
      <w:pPr>
        <w:spacing w:before="139" w:line="244" w:lineRule="auto"/>
        <w:ind w:left="520" w:right="779" w:firstLine="420"/>
        <w:jc w:val="left"/>
        <w:rPr>
          <w:sz w:val="21"/>
        </w:rPr>
      </w:pPr>
      <w:r>
        <w:rPr>
          <w:w w:val="95"/>
          <w:sz w:val="21"/>
        </w:rPr>
        <w:t>2</w:t>
      </w:r>
      <w:r>
        <w:rPr>
          <w:spacing w:val="-4"/>
          <w:w w:val="95"/>
          <w:sz w:val="21"/>
        </w:rPr>
        <w:t xml:space="preserve">.用款额按所报单价和总额价估算，不包括价格调整和暂列金额、暂估价，但应考虑开工预付款   </w:t>
      </w:r>
      <w:r>
        <w:rPr>
          <w:spacing w:val="-4"/>
          <w:sz w:val="21"/>
        </w:rPr>
        <w:t>的扣回、质量保证金的扣留以及签发付款证书后到实际支付的时间间隔。</w:t>
      </w:r>
    </w:p>
    <w:sectPr>
      <w:pgSz w:w="11910" w:h="16840"/>
      <w:pgMar w:top="1380" w:right="580" w:bottom="1080" w:left="840" w:header="746" w:footer="8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35" name="直线 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68.05pt;margin-top:797.85pt;height:0pt;width:459.2pt;mso-position-horizontal-relative:page;mso-position-vertical-relative:page;z-index:-25165721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K2kkGekBAADcAwAADgAAAAAAAAABACAAAAApAQAAZHJzL2Uyb0RvYy54bWxQSwUGAAAAAAYA&#10;BgBZAQAAhAUAAAAA&#10;">
              <v:fill on="f" focussize="0,0"/>
              <v:stroke weight="0.48pt"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336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39" name="直线 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68.05pt;margin-top:797.85pt;height:0pt;width:459.2pt;mso-position-horizontal-relative:page;mso-position-vertical-relative:page;z-index:-25165312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0xBA76gEAANwDAAAOAAAAZHJzL2Uyb0RvYy54bWyt&#10;U0tu2zAQ3RfoHQjua9lJYz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de3nDmw1PGn&#10;7z+efv5iN1mcIWBNMfduE087DJuYmR7aaPOfOLBDEfR4FlQdEhN0eLO4ni3ek9bi2Ve9XAwR00fl&#10;LctGw412mSvUsP+EiZJR6HNIPjaODQ2fT2/nBAc0eC01nEwbqHh0XbmL3mj5oI3JNzB223sT2R5y&#10;88uXKRHuX2E5yRqwH+OKaxyLXoH84CRLx0CqOHoNPJdgleTMKHo82SJAqBNoc0kkpTaOKsiqjjpm&#10;a+vlkZqwC1F3PSkxK1VmDzW91Hsa0DxVf+4L0sujX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TEEDv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3590925</wp:posOffset>
              </wp:positionH>
              <wp:positionV relativeFrom="page">
                <wp:posOffset>9987915</wp:posOffset>
              </wp:positionV>
              <wp:extent cx="366395" cy="139700"/>
              <wp:effectExtent l="0" t="0" r="0" b="0"/>
              <wp:wrapNone/>
              <wp:docPr id="40" name="文本框 6"/>
              <wp:cNvGraphicFramePr/>
              <a:graphic xmlns:a="http://schemas.openxmlformats.org/drawingml/2006/main">
                <a:graphicData uri="http://schemas.microsoft.com/office/word/2010/wordprocessingShape">
                  <wps:wsp>
                    <wps:cNvSpPr txBox="1"/>
                    <wps:spPr>
                      <a:xfrm>
                        <a:off x="0" y="0"/>
                        <a:ext cx="36639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6" o:spid="_x0000_s1026" o:spt="202" type="#_x0000_t202" style="position:absolute;left:0pt;margin-left:282.75pt;margin-top:786.45pt;height:11pt;width:28.85pt;mso-position-horizontal-relative:page;mso-position-vertical-relative:page;z-index:-251652096;mso-width-relative:page;mso-height-relative:page;" filled="f" stroked="f" coordsize="21600,21600" o:gfxdata="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zUH5dsAAAANAQAADwAAAAAAAAABACAAAAAiAAAAZHJzL2Rvd25yZXYueG1s&#10;UEsBAhQAFAAAAAgAh07iQNSoiX28AQAAcgMAAA4AAAAAAAAAAQAgAAAAKg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540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1" name="直线 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68.05pt;margin-top:797.85pt;height:0pt;width:459.2pt;mso-position-horizontal-relative:page;mso-position-vertical-relative:page;z-index:-25165107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GTSLWL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6432"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2" name="文本框 8"/>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8" o:spid="_x0000_s1026" o:spt="202" type="#_x0000_t202" style="position:absolute;left:0pt;margin-left:280.6pt;margin-top:786.45pt;height:11pt;width:33.25pt;mso-position-horizontal-relative:page;mso-position-vertical-relative:page;z-index:-251650048;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yzU7l7wBAABy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7456"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3" name="直线 9"/>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68.05pt;margin-top:797.85pt;height:0pt;width:459.2pt;mso-position-horizontal-relative:page;mso-position-vertical-relative:page;z-index:-251649024;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bu8x6gEAANwDAAAOAAAAZHJzL2Uyb0RvYy54bWyt&#10;U0tu2zAQ3RfoHQjua9lJaj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TfXnDmw1PGn&#10;7z+efv5it1mcIWBNMfduE087DJuYmR7aaPOfOLBDEfR4FlQdEhN0+H5xPVvckNbi2Ve9XAwR00fl&#10;LctGw412mSvUsP+EiZJR6HNIPjaODQ2fT2/nBAc0eC01nEwbqHh0XbmL3mj5oI3JNzB223sT2R5y&#10;88uXKRHuX2E5yRqwH+OKaxyLXoH84CRLx0CqOHoNPJdgleTMKHo82SJAqBNoc0kkpTaOKsiqjjpm&#10;a+vlkZqwC1F3PSkxK1VmDzW91Hsa0DxVf+4L0sujX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5u7zHqAQAA3A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4" name="文本框 10"/>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20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0" o:spid="_x0000_s1026" o:spt="202" type="#_x0000_t202" style="position:absolute;left:0pt;margin-left:280.6pt;margin-top:786.45pt;height:11pt;width:33.25pt;mso-position-horizontal-relative:page;mso-position-vertical-relative:page;z-index:-251648000;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0yC8DaAAAADQEAAA8AAAAAAAAAAQAgAAAAIgAAAGRycy9kb3ducmV2LnhtbFBL&#10;AQIUABQAAAAIAIdO4kDE8Pf8uwEAAHMDAAAOAAAAAAAAAAEAIAAAACkBAABkcnMvZTJvRG9jLnht&#10;bFBLBQYAAAAABgAGAFkBAABW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20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950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5" name="直线 1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68.05pt;margin-top:797.85pt;height:0pt;width:459.2pt;mso-position-horizontal-relative:page;mso-position-vertical-relative:page;z-index:-25164697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5qdAVukBAADdAwAADgAAAAAAAAABACAAAAAp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0528"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6" name="文本框 12"/>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30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2" o:spid="_x0000_s1026" o:spt="202" type="#_x0000_t202" style="position:absolute;left:0pt;margin-left:280.6pt;margin-top:786.45pt;height:11pt;width:33.25pt;mso-position-horizontal-relative:page;mso-position-vertical-relative:page;z-index:-251645952;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A8P+pe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30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1552"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7" name="直线 13"/>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68.05pt;margin-top:797.85pt;height:0pt;width:459.2pt;mso-position-horizontal-relative:page;mso-position-vertical-relative:page;z-index:-251644928;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BVdXQr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48" name="文本框 14"/>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40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4" o:spid="_x0000_s1026" o:spt="202" type="#_x0000_t202" style="position:absolute;left:0pt;margin-left:280.6pt;margin-top:786.45pt;height:11pt;width:33.25pt;mso-position-horizontal-relative:page;mso-position-vertical-relative:page;z-index:-251643904;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jEtopb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40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360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49" name="直线 1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68.05pt;margin-top:797.85pt;height:0pt;width:459.2pt;mso-position-horizontal-relative:page;mso-position-vertical-relative:page;z-index:-25164288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9RUFq6wEAAN0DAAAOAAAAZHJzL2Uyb0RvYy54bWyt&#10;U0tu2zAQ3RfoHQjua9lpYj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de3nDmw1PGn&#10;7z+efv5is5uszhCwpqB7t4mnHYZNzFQPbbT5TyTYoSh6PCuqDokJOrxZvJ8trkls8eyrXi6GiOmj&#10;8pZlo+FGu0wWath/wkTJKPQ5JB8bx4aGz6e3c4IDmryWOk6mDVQ9uq7cRW+0fNDG5BsYu+29iWwP&#10;ufvly5QI96+wnGQN2I9xxTXORa9AfnCSpWMgWRw9B55LsEpyZhS9nmwRINQJtLkkklIbRxVkVUcd&#10;s7X18khd2IWou56UmJUqs4e6Xuo9TWgeqz/3Benl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D9RUFq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4624"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0" name="文本框 16"/>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50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6" o:spid="_x0000_s1026" o:spt="202" type="#_x0000_t202" style="position:absolute;left:0pt;margin-left:280.6pt;margin-top:786.45pt;height:11pt;width:33.25pt;mso-position-horizontal-relative:page;mso-position-vertical-relative:page;z-index:-251641856;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IQPjiO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50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564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1" name="直线 1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68.05pt;margin-top:797.85pt;height:0pt;width:459.2pt;mso-position-horizontal-relative:page;mso-position-vertical-relative:page;z-index:-25164083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HQO8Qj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6672"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2" name="文本框 18"/>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60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18" o:spid="_x0000_s1026" o:spt="202" type="#_x0000_t202" style="position:absolute;left:0pt;margin-left:280.6pt;margin-top:786.45pt;height:11pt;width:33.25pt;mso-position-horizontal-relative:page;mso-position-vertical-relative:page;z-index:-251639808;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AWQmCG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60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7696"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3" name="直线 19"/>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9" o:spid="_x0000_s1026" o:spt="20" style="position:absolute;left:0pt;margin-left:68.05pt;margin-top:797.85pt;height:0pt;width:459.2pt;mso-position-horizontal-relative:page;mso-position-vertical-relative:page;z-index:-251638784;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DP0uro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8720"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4" name="文本框 20"/>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70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0" o:spid="_x0000_s1026" o:spt="202" type="#_x0000_t202" style="position:absolute;left:0pt;margin-left:280.6pt;margin-top:786.45pt;height:11pt;width:33.25pt;mso-position-horizontal-relative:page;mso-position-vertical-relative:page;z-index:-251637760;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FTLhmL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70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79744"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5" name="直线 21"/>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68.05pt;margin-top:797.85pt;height:0pt;width:459.2pt;mso-position-horizontal-relative:page;mso-position-vertical-relative:page;z-index:-251636736;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q7Sa2gAAAA4BAAAPAAAAAAAAAAEAIAAAACIAAABkcnMvZG93bnJldi54bWxQSwECFAAUAAAACACH&#10;TuJAIYB7y+kBAADdAwAADgAAAAAAAAABACAAAAAp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0768"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6" name="文本框 22"/>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80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2" o:spid="_x0000_s1026" o:spt="202" type="#_x0000_t202" style="position:absolute;left:0pt;margin-left:280.6pt;margin-top:786.45pt;height:11pt;width:33.25pt;mso-position-horizontal-relative:page;mso-position-vertical-relative:page;z-index:-251635712;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TILwNoAAAANAQAADwAAAAAAAAABACAAAAAiAAAAZHJzL2Rvd25yZXYueG1s&#10;UEsBAhQAFAAAAAgAh07iQN7N7PO9AQAAcwMAAA4AAAAAAAAAAQAgAAAAKQEAAGRycy9lMm9Eb2Mu&#10;eG1sUEsFBgAAAAAGAAYAWQEAAFgFA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80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1792"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7" name="直线 23"/>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margin-left:68.05pt;margin-top:797.85pt;height:0pt;width:459.2pt;mso-position-horizontal-relative:page;mso-position-vertical-relative:page;z-index:-251634688;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CSUk+2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2816" behindDoc="1" locked="0" layoutInCell="1" allowOverlap="1">
              <wp:simplePos x="0" y="0"/>
              <wp:positionH relativeFrom="page">
                <wp:posOffset>3563620</wp:posOffset>
              </wp:positionH>
              <wp:positionV relativeFrom="page">
                <wp:posOffset>9987915</wp:posOffset>
              </wp:positionV>
              <wp:extent cx="422275" cy="139700"/>
              <wp:effectExtent l="0" t="0" r="0" b="0"/>
              <wp:wrapNone/>
              <wp:docPr id="58" name="文本框 24"/>
              <wp:cNvGraphicFramePr/>
              <a:graphic xmlns:a="http://schemas.openxmlformats.org/drawingml/2006/main">
                <a:graphicData uri="http://schemas.microsoft.com/office/word/2010/wordprocessingShape">
                  <wps:wsp>
                    <wps:cNvSpPr txBox="1"/>
                    <wps:spPr>
                      <a:xfrm>
                        <a:off x="0" y="0"/>
                        <a:ext cx="42227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90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4" o:spid="_x0000_s1026" o:spt="202" type="#_x0000_t202" style="position:absolute;left:0pt;margin-left:280.6pt;margin-top:786.45pt;height:11pt;width:33.25pt;mso-position-horizontal-relative:page;mso-position-vertical-relative:page;z-index:-251633664;mso-width-relative:page;mso-height-relative:page;" filled="f" stroked="f" coordsize="21600,21600" o:gfxdata="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tMgvA2gAAAA0BAAAPAAAAAAAAAAEAIAAAACIAAABkcnMvZG93bnJldi54bWxQ&#10;SwECFAAUAAAACACHTuJAXYl+wbwBAABzAwAADgAAAAAAAAABACAAAAApAQAAZHJzL2Uyb0RvYy54&#10;bWxQSwUGAAAAAAYABgBZAQAAVw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90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384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59" name="直线 2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68.05pt;margin-top:797.85pt;height:0pt;width:459.2pt;mso-position-horizontal-relative:page;mso-position-vertical-relative:page;z-index:-25163264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Dpievf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4864"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60" name="文本框 26"/>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26" o:spid="_x0000_s1026" o:spt="202" type="#_x0000_t202" style="position:absolute;left:0pt;margin-left:278.2pt;margin-top:786.45pt;height:11pt;width:37.95pt;mso-position-horizontal-relative:page;mso-position-vertical-relative:page;z-index:-251631616;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RQjZTbAAAADQEAAA8AAAAAAAAAAQAgAAAAIgAAAGRycy9kb3ducmV2Lnht&#10;bFBLAQIUABQAAAAIAIdO4kC3AtpsvQEAAHMDAAAOAAAAAAAAAAEAIAAAACoBAABkcnMvZTJvRG9j&#10;LnhtbFBLBQYAAAAABgAGAFkBAABZ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8960" behindDoc="1" locked="0" layoutInCell="1" allowOverlap="1">
              <wp:simplePos x="0" y="0"/>
              <wp:positionH relativeFrom="page">
                <wp:posOffset>914400</wp:posOffset>
              </wp:positionH>
              <wp:positionV relativeFrom="page">
                <wp:posOffset>7000240</wp:posOffset>
              </wp:positionV>
              <wp:extent cx="8864600" cy="0"/>
              <wp:effectExtent l="0" t="0" r="0" b="0"/>
              <wp:wrapNone/>
              <wp:docPr id="64" name="直线 30"/>
              <wp:cNvGraphicFramePr/>
              <a:graphic xmlns:a="http://schemas.openxmlformats.org/drawingml/2006/main">
                <a:graphicData uri="http://schemas.microsoft.com/office/word/2010/wordprocessingShape">
                  <wps:wsp>
                    <wps:cNvCnPr/>
                    <wps:spPr>
                      <a:xfrm>
                        <a:off x="0" y="0"/>
                        <a:ext cx="88646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0" o:spid="_x0000_s1026" o:spt="20" style="position:absolute;left:0pt;margin-left:72pt;margin-top:551.2pt;height:0pt;width:698pt;mso-position-horizontal-relative:page;mso-position-vertical-relative:page;z-index:-251627520;mso-width-relative:page;mso-height-relative:page;" filled="f" stroked="t" coordsize="21600,21600" o:gfxdata="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pirjfX&#10;AAAADgEAAA8AAAAAAAAAAQAgAAAAIgAAAGRycy9kb3ducmV2LnhtbFBLAQIUABQAAAAIAIdO4kD6&#10;VC7I6AEAAN0DAAAOAAAAAAAAAAEAIAAAACYBAABkcnMvZTJvRG9jLnhtbFBLBQYAAAAABgAGAFkB&#10;AACA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9984" behindDoc="1" locked="0" layoutInCell="1" allowOverlap="1">
              <wp:simplePos x="0" y="0"/>
              <wp:positionH relativeFrom="page">
                <wp:posOffset>5099685</wp:posOffset>
              </wp:positionH>
              <wp:positionV relativeFrom="page">
                <wp:posOffset>6854190</wp:posOffset>
              </wp:positionV>
              <wp:extent cx="481965" cy="141605"/>
              <wp:effectExtent l="0" t="0" r="0" b="0"/>
              <wp:wrapNone/>
              <wp:docPr id="65" name="文本框 31"/>
              <wp:cNvGraphicFramePr/>
              <a:graphic xmlns:a="http://schemas.openxmlformats.org/drawingml/2006/main">
                <a:graphicData uri="http://schemas.microsoft.com/office/word/2010/wordprocessingShape">
                  <wps:wsp>
                    <wps:cNvSpPr txBox="1"/>
                    <wps:spPr>
                      <a:xfrm>
                        <a:off x="0" y="0"/>
                        <a:ext cx="481965" cy="141605"/>
                      </a:xfrm>
                      <a:prstGeom prst="rect">
                        <a:avLst/>
                      </a:prstGeom>
                      <a:noFill/>
                      <a:ln>
                        <a:noFill/>
                      </a:ln>
                    </wps:spPr>
                    <wps:txbx>
                      <w:txbxContent>
                        <w:p>
                          <w:pPr>
                            <w:spacing w:before="0" w:line="206"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105</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1" o:spid="_x0000_s1026" o:spt="202" type="#_x0000_t202" style="position:absolute;left:0pt;margin-left:401.55pt;margin-top:539.7pt;height:11.15pt;width:37.95pt;mso-position-horizontal-relative:page;mso-position-vertical-relative:page;z-index:-251626496;mso-width-relative:page;mso-height-relative:page;" filled="f" stroked="f" coordsize="21600,21600" o:gfxdata="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EwhI7aAAAADQEAAA8AAAAAAAAAAQAgAAAAIgAAAGRycy9kb3ducmV2LnhtbFBL&#10;AQIUABQAAAAIAIdO4kCsl3DPuwEAAHMDAAAOAAAAAAAAAAEAIAAAACkBAABkcnMvZTJvRG9jLnht&#10;bFBLBQYAAAAABgAGAFkBAABWBQAAAAA=&#10;">
              <v:fill on="f" focussize="0,0"/>
              <v:stroke on="f"/>
              <v:imagedata o:title=""/>
              <o:lock v:ext="edit" aspectratio="f"/>
              <v:textbox inset="0mm,0mm,0mm,0mm">
                <w:txbxContent>
                  <w:p>
                    <w:pPr>
                      <w:spacing w:before="0" w:line="206"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105</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4080" behindDoc="1" locked="0" layoutInCell="1" allowOverlap="1">
              <wp:simplePos x="0" y="0"/>
              <wp:positionH relativeFrom="page">
                <wp:posOffset>864235</wp:posOffset>
              </wp:positionH>
              <wp:positionV relativeFrom="page">
                <wp:posOffset>10132695</wp:posOffset>
              </wp:positionV>
              <wp:extent cx="5831840" cy="0"/>
              <wp:effectExtent l="0" t="0" r="0" b="0"/>
              <wp:wrapNone/>
              <wp:docPr id="69" name="直线 35"/>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5" o:spid="_x0000_s1026" o:spt="20" style="position:absolute;left:0pt;margin-left:68.05pt;margin-top:797.85pt;height:0pt;width:459.2pt;mso-position-horizontal-relative:page;mso-position-vertical-relative:page;z-index:-251622400;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u0mtoAAAAOAQAADwAAAAAAAAABACAAAAAiAAAAZHJzL2Rvd25yZXYueG1sUEsBAhQAFAAAAAgA&#10;h07iQBmTVDjqAQAA3QMAAA4AAAAAAAAAAQAgAAAAKQEAAGRycy9lMm9Eb2MueG1sUEsFBgAAAAAG&#10;AAYAWQEAAIU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95104"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70" name="文本框 36"/>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107</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6" o:spid="_x0000_s1026" o:spt="202" type="#_x0000_t202" style="position:absolute;left:0pt;margin-left:278.2pt;margin-top:786.45pt;height:11pt;width:37.95pt;mso-position-horizontal-relative:page;mso-position-vertical-relative:page;z-index:-251621376;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RQjZTbAAAADQEAAA8AAAAAAAAAAQAgAAAAIgAAAGRycy9kb3ducmV2Lnht&#10;bFBLAQIUABQAAAAIAIdO4kD0CgyHvQEAAHMDAAAOAAAAAAAAAAEAIAAAACoBAABkcnMvZTJvRG9j&#10;LnhtbFBLBQYAAAAABgAGAFkBAABZBQ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107</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6128" behindDoc="1" locked="0" layoutInCell="1" allowOverlap="1">
              <wp:simplePos x="0" y="0"/>
              <wp:positionH relativeFrom="page">
                <wp:posOffset>864235</wp:posOffset>
              </wp:positionH>
              <wp:positionV relativeFrom="page">
                <wp:posOffset>10132695</wp:posOffset>
              </wp:positionV>
              <wp:extent cx="5831840" cy="0"/>
              <wp:effectExtent l="0" t="0" r="0" b="0"/>
              <wp:wrapNone/>
              <wp:docPr id="71" name="直线 37"/>
              <wp:cNvGraphicFramePr/>
              <a:graphic xmlns:a="http://schemas.openxmlformats.org/drawingml/2006/main">
                <a:graphicData uri="http://schemas.microsoft.com/office/word/2010/wordprocessingShape">
                  <wps:wsp>
                    <wps:cNvCnPr/>
                    <wps:spPr>
                      <a:xfrm>
                        <a:off x="0" y="0"/>
                        <a:ext cx="583184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37" o:spid="_x0000_s1026" o:spt="20" style="position:absolute;left:0pt;margin-left:68.05pt;margin-top:797.85pt;height:0pt;width:459.2pt;mso-position-horizontal-relative:page;mso-position-vertical-relative:page;z-index:-251620352;mso-width-relative:page;mso-height-relative:page;" filled="f" stroked="t" coordsize="21600,21600" o:gfxdata="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yrtJraAAAADgEAAA8AAAAAAAAAAQAgAAAAIgAAAGRycy9kb3ducmV2LnhtbFBLAQIUABQAAAAI&#10;AIdO4kCQ2ORa6wEAAN0DAAAOAAAAAAAAAAEAIAAAACk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97152" behindDoc="1" locked="0" layoutInCell="1" allowOverlap="1">
              <wp:simplePos x="0" y="0"/>
              <wp:positionH relativeFrom="page">
                <wp:posOffset>3533140</wp:posOffset>
              </wp:positionH>
              <wp:positionV relativeFrom="page">
                <wp:posOffset>9987915</wp:posOffset>
              </wp:positionV>
              <wp:extent cx="481965" cy="139700"/>
              <wp:effectExtent l="0" t="0" r="0" b="0"/>
              <wp:wrapNone/>
              <wp:docPr id="72" name="文本框 38"/>
              <wp:cNvGraphicFramePr/>
              <a:graphic xmlns:a="http://schemas.openxmlformats.org/drawingml/2006/main">
                <a:graphicData uri="http://schemas.microsoft.com/office/word/2010/wordprocessingShape">
                  <wps:wsp>
                    <wps:cNvSpPr txBox="1"/>
                    <wps:spPr>
                      <a:xfrm>
                        <a:off x="0" y="0"/>
                        <a:ext cx="481965" cy="139700"/>
                      </a:xfrm>
                      <a:prstGeom prst="rect">
                        <a:avLst/>
                      </a:prstGeom>
                      <a:noFill/>
                      <a:ln>
                        <a:noFill/>
                      </a:ln>
                    </wps:spPr>
                    <wps:txbx>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110</w:t>
                          </w:r>
                          <w:r>
                            <w:fldChar w:fldCharType="end"/>
                          </w:r>
                          <w:r>
                            <w:rPr>
                              <w:rFonts w:ascii="Calibri"/>
                              <w:b/>
                              <w:sz w:val="18"/>
                            </w:rPr>
                            <w:t xml:space="preserve"> </w:t>
                          </w:r>
                          <w:r>
                            <w:rPr>
                              <w:rFonts w:ascii="Calibri"/>
                              <w:sz w:val="18"/>
                            </w:rPr>
                            <w:t xml:space="preserve">/ </w:t>
                          </w:r>
                          <w:r>
                            <w:rPr>
                              <w:rFonts w:ascii="Calibri"/>
                              <w:b/>
                              <w:sz w:val="18"/>
                            </w:rPr>
                            <w:t>119</w:t>
                          </w:r>
                        </w:p>
                      </w:txbxContent>
                    </wps:txbx>
                    <wps:bodyPr lIns="0" tIns="0" rIns="0" bIns="0" upright="1"/>
                  </wps:wsp>
                </a:graphicData>
              </a:graphic>
            </wp:anchor>
          </w:drawing>
        </mc:Choice>
        <mc:Fallback>
          <w:pict>
            <v:shape id="文本框 38" o:spid="_x0000_s1026" o:spt="202" type="#_x0000_t202" style="position:absolute;left:0pt;margin-left:278.2pt;margin-top:786.45pt;height:11pt;width:37.95pt;mso-position-horizontal-relative:page;mso-position-vertical-relative:page;z-index:-251619328;mso-width-relative:page;mso-height-relative:page;" filled="f" stroked="f" coordsize="21600,21600" o:gfxdata="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kUI2U2wAAAA0BAAAPAAAAAAAAAAEAIAAAACIAAABkcnMvZG93bnJldi54&#10;bWxQSwECFAAUAAAACACHTuJAdZUahb4BAABzAwAADgAAAAAAAAABACAAAAAqAQAAZHJzL2Uyb0Rv&#10;Yy54bWxQSwUGAAAAAAYABgBZAQAAWgUAAAAA&#10;">
              <v:fill on="f" focussize="0,0"/>
              <v:stroke on="f"/>
              <v:imagedata o:title=""/>
              <o:lock v:ext="edit" aspectratio="f"/>
              <v:textbox inset="0mm,0mm,0mm,0mm">
                <w:txbxContent>
                  <w:p>
                    <w:pPr>
                      <w:spacing w:before="0" w:line="203" w:lineRule="exact"/>
                      <w:ind w:left="40" w:right="0" w:firstLine="0"/>
                      <w:jc w:val="left"/>
                      <w:rPr>
                        <w:rFonts w:ascii="Calibri"/>
                        <w:b/>
                        <w:sz w:val="18"/>
                      </w:rPr>
                    </w:pPr>
                    <w:r>
                      <w:fldChar w:fldCharType="begin"/>
                    </w:r>
                    <w:r>
                      <w:rPr>
                        <w:rFonts w:ascii="Calibri"/>
                        <w:b/>
                        <w:sz w:val="18"/>
                      </w:rPr>
                      <w:instrText xml:space="preserve"> PAGE </w:instrText>
                    </w:r>
                    <w:r>
                      <w:fldChar w:fldCharType="separate"/>
                    </w:r>
                    <w:r>
                      <w:t>110</w:t>
                    </w:r>
                    <w:r>
                      <w:fldChar w:fldCharType="end"/>
                    </w:r>
                    <w:r>
                      <w:rPr>
                        <w:rFonts w:ascii="Calibri"/>
                        <w:b/>
                        <w:sz w:val="18"/>
                      </w:rPr>
                      <w:t xml:space="preserve"> </w:t>
                    </w:r>
                    <w:r>
                      <w:rPr>
                        <w:rFonts w:ascii="Calibri"/>
                        <w:sz w:val="18"/>
                      </w:rPr>
                      <w:t xml:space="preserve">/ </w:t>
                    </w:r>
                    <w:r>
                      <w:rPr>
                        <w:rFonts w:ascii="Calibri"/>
                        <w:b/>
                        <w:sz w:val="18"/>
                      </w:rPr>
                      <w:t>119</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864235</wp:posOffset>
              </wp:positionH>
              <wp:positionV relativeFrom="page">
                <wp:posOffset>622300</wp:posOffset>
              </wp:positionV>
              <wp:extent cx="5831840" cy="0"/>
              <wp:effectExtent l="0" t="0" r="0" b="0"/>
              <wp:wrapNone/>
              <wp:docPr id="36" name="直线 2"/>
              <wp:cNvGraphicFramePr/>
              <a:graphic xmlns:a="http://schemas.openxmlformats.org/drawingml/2006/main">
                <a:graphicData uri="http://schemas.microsoft.com/office/word/2010/wordprocessingShape">
                  <wps:wsp>
                    <wps:cNvCnPr/>
                    <wps:spPr>
                      <a:xfrm>
                        <a:off x="0" y="0"/>
                        <a:ext cx="583184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left:68.05pt;margin-top:49pt;height:0pt;width:459.2pt;mso-position-horizontal-relative:page;mso-position-vertical-relative:page;z-index:-251656192;mso-width-relative:page;mso-height-relative:page;" filled="f" stroked="t" coordsize="21600,21600" o:gfxdata="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dIyBzW&#10;AAAACgEAAA8AAAAAAAAAAQAgAAAAIgAAAGRycy9kb3ducmV2LnhtbFBLAQIUABQAAAAIAIdO4kBC&#10;NBPS6QEAANwDAAAOAAAAAAAAAAEAIAAAACUBAABkcnMvZTJvRG9jLnhtbFBLBQYAAAAABgAGAFkB&#10;AACABQ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850900</wp:posOffset>
              </wp:positionH>
              <wp:positionV relativeFrom="page">
                <wp:posOffset>461010</wp:posOffset>
              </wp:positionV>
              <wp:extent cx="2032635" cy="1397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2032635"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wps:txbx>
                    <wps:bodyPr lIns="0" tIns="0" rIns="0" bIns="0" upright="1"/>
                  </wps:wsp>
                </a:graphicData>
              </a:graphic>
            </wp:anchor>
          </w:drawing>
        </mc:Choice>
        <mc:Fallback>
          <w:pict>
            <v:shape id="文本框 3" o:spid="_x0000_s1026" o:spt="202" type="#_x0000_t202" style="position:absolute;left:0pt;margin-left:67pt;margin-top:36.3pt;height:11pt;width:160.05pt;mso-position-horizontal-relative:page;mso-position-vertical-relative:page;z-index:-251655168;mso-width-relative:page;mso-height-relative:page;" filled="f" stroked="f" coordsize="21600,21600" o:gfxdata="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sqPpvYAAAACQEAAA8AAAAAAAAAAQAgAAAAIgAAAGRycy9kb3ducmV2LnhtbFBL&#10;AQIUABQAAAAIAIdO4kAHJM81vQEAAHMDAAAOAAAAAAAAAAEAIAAAACcBAABkcnMvZTJvRG9jLnht&#10;bFBLBQYAAAAABgAGAFkBAABWBQ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6188075</wp:posOffset>
              </wp:positionH>
              <wp:positionV relativeFrom="page">
                <wp:posOffset>461010</wp:posOffset>
              </wp:positionV>
              <wp:extent cx="484505" cy="139700"/>
              <wp:effectExtent l="0" t="0" r="0" b="0"/>
              <wp:wrapNone/>
              <wp:docPr id="38" name="文本框 4"/>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4" o:spid="_x0000_s1026" o:spt="202" type="#_x0000_t202" style="position:absolute;left:0pt;margin-left:487.25pt;margin-top:36.3pt;height:11pt;width:38.15pt;mso-position-horizontal-relative:page;mso-position-vertical-relative:page;z-index:-251654144;mso-width-relative:page;mso-height-relative:page;" filled="f" stroked="f" coordsize="21600,21600" o:gfxdata="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dseBf2QAAAAoBAAAPAAAAAAAAAAEAIAAAACIAAABkcnMvZG93bnJldi54bWxQ&#10;SwECFAAUAAAACACHTuJALetiS70BAAByAwAADgAAAAAAAAABACAAAAAoAQAAZHJzL2Uyb0RvYy54&#10;bWxQSwUGAAAAAAYABgBZAQAAVwU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85888" behindDoc="1" locked="0" layoutInCell="1" allowOverlap="1">
              <wp:simplePos x="0" y="0"/>
              <wp:positionH relativeFrom="page">
                <wp:posOffset>914400</wp:posOffset>
              </wp:positionH>
              <wp:positionV relativeFrom="page">
                <wp:posOffset>622300</wp:posOffset>
              </wp:positionV>
              <wp:extent cx="8864600" cy="0"/>
              <wp:effectExtent l="0" t="0" r="0" b="0"/>
              <wp:wrapNone/>
              <wp:docPr id="61" name="直线 27"/>
              <wp:cNvGraphicFramePr/>
              <a:graphic xmlns:a="http://schemas.openxmlformats.org/drawingml/2006/main">
                <a:graphicData uri="http://schemas.microsoft.com/office/word/2010/wordprocessingShape">
                  <wps:wsp>
                    <wps:cNvCnPr/>
                    <wps:spPr>
                      <a:xfrm>
                        <a:off x="0" y="0"/>
                        <a:ext cx="886460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27" o:spid="_x0000_s1026" o:spt="20" style="position:absolute;left:0pt;margin-left:72pt;margin-top:49pt;height:0pt;width:698pt;mso-position-horizontal-relative:page;mso-position-vertical-relative:page;z-index:-251630592;mso-width-relative:page;mso-height-relative:page;" filled="f" stroked="t" coordsize="21600,21600" o:gfxdata="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7Uy0i1AAA&#10;AAoBAAAPAAAAAAAAAAEAIAAAACIAAABkcnMvZG93bnJldi54bWxQSwECFAAUAAAACACHTuJAEcob&#10;DukBAADdAwAADgAAAAAAAAABACAAAAAjAQAAZHJzL2Uyb0RvYy54bWxQSwUGAAAAAAYABgBZAQAA&#10;fg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86912" behindDoc="1" locked="0" layoutInCell="1" allowOverlap="1">
              <wp:simplePos x="0" y="0"/>
              <wp:positionH relativeFrom="page">
                <wp:posOffset>901700</wp:posOffset>
              </wp:positionH>
              <wp:positionV relativeFrom="page">
                <wp:posOffset>461010</wp:posOffset>
              </wp:positionV>
              <wp:extent cx="2032635" cy="139700"/>
              <wp:effectExtent l="0" t="0" r="0" b="0"/>
              <wp:wrapNone/>
              <wp:docPr id="62" name="文本框 28"/>
              <wp:cNvGraphicFramePr/>
              <a:graphic xmlns:a="http://schemas.openxmlformats.org/drawingml/2006/main">
                <a:graphicData uri="http://schemas.microsoft.com/office/word/2010/wordprocessingShape">
                  <wps:wsp>
                    <wps:cNvSpPr txBox="1"/>
                    <wps:spPr>
                      <a:xfrm>
                        <a:off x="0" y="0"/>
                        <a:ext cx="2032635"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wps:txbx>
                    <wps:bodyPr lIns="0" tIns="0" rIns="0" bIns="0" upright="1"/>
                  </wps:wsp>
                </a:graphicData>
              </a:graphic>
            </wp:anchor>
          </w:drawing>
        </mc:Choice>
        <mc:Fallback>
          <w:pict>
            <v:shape id="文本框 28" o:spid="_x0000_s1026" o:spt="202" type="#_x0000_t202" style="position:absolute;left:0pt;margin-left:71pt;margin-top:36.3pt;height:11pt;width:160.05pt;mso-position-horizontal-relative:page;mso-position-vertical-relative:page;z-index:-251629568;mso-width-relative:page;mso-height-relative:page;" filled="f" stroked="f" coordsize="21600,21600" o:gfxdata="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3YR4NcAAAAJAQAADwAAAAAAAAABACAAAAAiAAAAZHJzL2Rvd25yZXYueG1sUEsB&#10;AhQAFAAAAAgAh07iQJLMEAa9AQAAdAMAAA4AAAAAAAAAAQAgAAAAJgEAAGRycy9lMm9Eb2MueG1s&#10;UEsFBgAAAAAGAAYAWQEAAFUFA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v:textbox>
            </v:shape>
          </w:pict>
        </mc:Fallback>
      </mc:AlternateContent>
    </w:r>
    <w:r>
      <mc:AlternateContent>
        <mc:Choice Requires="wps">
          <w:drawing>
            <wp:anchor distT="0" distB="0" distL="114300" distR="114300" simplePos="0" relativeHeight="251687936" behindDoc="1" locked="0" layoutInCell="1" allowOverlap="1">
              <wp:simplePos x="0" y="0"/>
              <wp:positionH relativeFrom="page">
                <wp:posOffset>6238240</wp:posOffset>
              </wp:positionH>
              <wp:positionV relativeFrom="page">
                <wp:posOffset>461010</wp:posOffset>
              </wp:positionV>
              <wp:extent cx="484505" cy="139700"/>
              <wp:effectExtent l="0" t="0" r="0" b="0"/>
              <wp:wrapNone/>
              <wp:docPr id="63" name="文本框 29"/>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29" o:spid="_x0000_s1026" o:spt="202" type="#_x0000_t202" style="position:absolute;left:0pt;margin-left:491.2pt;margin-top:36.3pt;height:11pt;width:38.15pt;mso-position-horizontal-relative:page;mso-position-vertical-relative:page;z-index:-251628544;mso-width-relative:page;mso-height-relative:page;" filled="f" stroked="f" coordsize="21600,21600" o:gfxdata="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t9+AtkAAAAKAQAADwAAAAAAAAABACAAAAAiAAAAZHJzL2Rvd25yZXYueG1s&#10;UEsBAhQAFAAAAAgAh07iQBAfTHG+AQAAcwMAAA4AAAAAAAAAAQAgAAAAKAEAAGRycy9lMm9Eb2Mu&#10;eG1sUEsFBgAAAAAGAAYAWQEAAFgFA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mc:AlternateContent>
        <mc:Choice Requires="wps">
          <w:drawing>
            <wp:anchor distT="0" distB="0" distL="114300" distR="114300" simplePos="0" relativeHeight="251691008" behindDoc="1" locked="0" layoutInCell="1" allowOverlap="1">
              <wp:simplePos x="0" y="0"/>
              <wp:positionH relativeFrom="page">
                <wp:posOffset>864235</wp:posOffset>
              </wp:positionH>
              <wp:positionV relativeFrom="page">
                <wp:posOffset>622300</wp:posOffset>
              </wp:positionV>
              <wp:extent cx="5831840" cy="0"/>
              <wp:effectExtent l="0" t="0" r="0" b="0"/>
              <wp:wrapNone/>
              <wp:docPr id="66" name="直线 32"/>
              <wp:cNvGraphicFramePr/>
              <a:graphic xmlns:a="http://schemas.openxmlformats.org/drawingml/2006/main">
                <a:graphicData uri="http://schemas.microsoft.com/office/word/2010/wordprocessingShape">
                  <wps:wsp>
                    <wps:cNvCnPr/>
                    <wps:spPr>
                      <a:xfrm>
                        <a:off x="0" y="0"/>
                        <a:ext cx="5831840" cy="0"/>
                      </a:xfrm>
                      <a:prstGeom prst="line">
                        <a:avLst/>
                      </a:prstGeom>
                      <a:ln w="9144" cap="flat" cmpd="sng">
                        <a:solidFill>
                          <a:srgbClr val="000000"/>
                        </a:solidFill>
                        <a:prstDash val="solid"/>
                        <a:headEnd type="none" w="med" len="med"/>
                        <a:tailEnd type="none" w="med" len="med"/>
                      </a:ln>
                    </wps:spPr>
                    <wps:bodyPr upright="1"/>
                  </wps:wsp>
                </a:graphicData>
              </a:graphic>
            </wp:anchor>
          </w:drawing>
        </mc:Choice>
        <mc:Fallback>
          <w:pict>
            <v:line id="直线 32" o:spid="_x0000_s1026" o:spt="20" style="position:absolute;left:0pt;margin-left:68.05pt;margin-top:49pt;height:0pt;width:459.2pt;mso-position-horizontal-relative:page;mso-position-vertical-relative:page;z-index:-251625472;mso-width-relative:page;mso-height-relative:page;" filled="f" stroked="t" coordsize="21600,21600" o:gfxdata="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XSMgc&#10;1gAAAAoBAAAPAAAAAAAAAAEAIAAAACIAAABkcnMvZG93bnJldi54bWxQSwECFAAUAAAACACHTuJA&#10;un/vyOoBAADdAwAADgAAAAAAAAABACAAAAAlAQAAZHJzL2Uyb0RvYy54bWxQSwUGAAAAAAYABgBZ&#10;AQAAg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92032" behindDoc="1" locked="0" layoutInCell="1" allowOverlap="1">
              <wp:simplePos x="0" y="0"/>
              <wp:positionH relativeFrom="page">
                <wp:posOffset>850900</wp:posOffset>
              </wp:positionH>
              <wp:positionV relativeFrom="page">
                <wp:posOffset>461010</wp:posOffset>
              </wp:positionV>
              <wp:extent cx="2032635" cy="139700"/>
              <wp:effectExtent l="0" t="0" r="0" b="0"/>
              <wp:wrapNone/>
              <wp:docPr id="67" name="文本框 33"/>
              <wp:cNvGraphicFramePr/>
              <a:graphic xmlns:a="http://schemas.openxmlformats.org/drawingml/2006/main">
                <a:graphicData uri="http://schemas.microsoft.com/office/word/2010/wordprocessingShape">
                  <wps:wsp>
                    <wps:cNvSpPr txBox="1"/>
                    <wps:spPr>
                      <a:xfrm>
                        <a:off x="0" y="0"/>
                        <a:ext cx="2032635" cy="139700"/>
                      </a:xfrm>
                      <a:prstGeom prst="rect">
                        <a:avLst/>
                      </a:prstGeom>
                      <a:noFill/>
                      <a:ln>
                        <a:noFill/>
                      </a:ln>
                    </wps:spPr>
                    <wps:txbx>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wps:txbx>
                    <wps:bodyPr lIns="0" tIns="0" rIns="0" bIns="0" upright="1"/>
                  </wps:wsp>
                </a:graphicData>
              </a:graphic>
            </wp:anchor>
          </w:drawing>
        </mc:Choice>
        <mc:Fallback>
          <w:pict>
            <v:shape id="文本框 33" o:spid="_x0000_s1026" o:spt="202" type="#_x0000_t202" style="position:absolute;left:0pt;margin-left:67pt;margin-top:36.3pt;height:11pt;width:160.05pt;mso-position-horizontal-relative:page;mso-position-vertical-relative:page;z-index:-251624448;mso-width-relative:page;mso-height-relative:page;" filled="f" stroked="f" coordsize="21600,21600" o:gfxdata="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sqPpvYAAAACQEAAA8AAAAAAAAAAQAgAAAAIgAAAGRycy9kb3ducmV2LnhtbFBL&#10;AQIUABQAAAAIAIdO4kByiZvivQEAAHQDAAAOAAAAAAAAAAEAIAAAACcBAABkcnMvZTJvRG9jLnht&#10;bFBLBQYAAAAABgAGAFkBAABWBQAAAAA=&#10;">
              <v:fill on="f" focussize="0,0"/>
              <v:stroke on="f"/>
              <v:imagedata o:title=""/>
              <o:lock v:ext="edit" aspectratio="f"/>
              <v:textbox inset="0mm,0mm,0mm,0mm">
                <w:txbxContent>
                  <w:p>
                    <w:pPr>
                      <w:spacing w:before="0" w:line="220" w:lineRule="exact"/>
                      <w:ind w:left="20" w:right="0" w:firstLine="0"/>
                      <w:jc w:val="left"/>
                      <w:rPr>
                        <w:b/>
                        <w:sz w:val="18"/>
                      </w:rPr>
                    </w:pPr>
                    <w:r>
                      <w:rPr>
                        <w:b/>
                        <w:spacing w:val="-12"/>
                        <w:sz w:val="18"/>
                      </w:rPr>
                      <w:t xml:space="preserve">商城县 </w:t>
                    </w:r>
                    <w:r>
                      <w:rPr>
                        <w:b/>
                        <w:sz w:val="18"/>
                      </w:rPr>
                      <w:t>X005</w:t>
                    </w:r>
                    <w:r>
                      <w:rPr>
                        <w:b/>
                        <w:spacing w:val="-8"/>
                        <w:sz w:val="18"/>
                      </w:rPr>
                      <w:t xml:space="preserve"> 观庙镇至双轮河段改建工程</w:t>
                    </w:r>
                  </w:p>
                </w:txbxContent>
              </v:textbox>
            </v:shape>
          </w:pict>
        </mc:Fallback>
      </mc:AlternateContent>
    </w:r>
    <w:r>
      <mc:AlternateContent>
        <mc:Choice Requires="wps">
          <w:drawing>
            <wp:anchor distT="0" distB="0" distL="114300" distR="114300" simplePos="0" relativeHeight="251693056" behindDoc="1" locked="0" layoutInCell="1" allowOverlap="1">
              <wp:simplePos x="0" y="0"/>
              <wp:positionH relativeFrom="page">
                <wp:posOffset>6188075</wp:posOffset>
              </wp:positionH>
              <wp:positionV relativeFrom="page">
                <wp:posOffset>461010</wp:posOffset>
              </wp:positionV>
              <wp:extent cx="484505" cy="139700"/>
              <wp:effectExtent l="0" t="0" r="0" b="0"/>
              <wp:wrapNone/>
              <wp:docPr id="68" name="文本框 34"/>
              <wp:cNvGraphicFramePr/>
              <a:graphic xmlns:a="http://schemas.openxmlformats.org/drawingml/2006/main">
                <a:graphicData uri="http://schemas.microsoft.com/office/word/2010/wordprocessingShape">
                  <wps:wsp>
                    <wps:cNvSpPr txBox="1"/>
                    <wps:spPr>
                      <a:xfrm>
                        <a:off x="0" y="0"/>
                        <a:ext cx="484505" cy="139700"/>
                      </a:xfrm>
                      <a:prstGeom prst="rect">
                        <a:avLst/>
                      </a:prstGeom>
                      <a:noFill/>
                      <a:ln>
                        <a:noFill/>
                      </a:ln>
                    </wps:spPr>
                    <wps:txbx>
                      <w:txbxContent>
                        <w:p>
                          <w:pPr>
                            <w:spacing w:before="0" w:line="220" w:lineRule="exact"/>
                            <w:ind w:left="20" w:right="0" w:firstLine="0"/>
                            <w:jc w:val="left"/>
                            <w:rPr>
                              <w:b/>
                              <w:sz w:val="18"/>
                            </w:rPr>
                          </w:pPr>
                          <w:r>
                            <w:rPr>
                              <w:b/>
                              <w:sz w:val="18"/>
                            </w:rPr>
                            <w:t>招标文件</w:t>
                          </w:r>
                        </w:p>
                      </w:txbxContent>
                    </wps:txbx>
                    <wps:bodyPr lIns="0" tIns="0" rIns="0" bIns="0" upright="1"/>
                  </wps:wsp>
                </a:graphicData>
              </a:graphic>
            </wp:anchor>
          </w:drawing>
        </mc:Choice>
        <mc:Fallback>
          <w:pict>
            <v:shape id="文本框 34" o:spid="_x0000_s1026" o:spt="202" type="#_x0000_t202" style="position:absolute;left:0pt;margin-left:487.25pt;margin-top:36.3pt;height:11pt;width:38.15pt;mso-position-horizontal-relative:page;mso-position-vertical-relative:page;z-index:-251623424;mso-width-relative:page;mso-height-relative:page;" filled="f" stroked="f" coordsize="21600,21600" o:gfxdata="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dseBf2QAAAAoBAAAPAAAAAAAAAAEAIAAAACIAAABkcnMvZG93bnJldi54bWxQ&#10;SwECFAAUAAAACACHTuJAH7BUxr0BAABzAwAADgAAAAAAAAABACAAAAAoAQAAZHJzL2Uyb0RvYy54&#10;bWxQSwUGAAAAAAYABgBZAQAAVwUAAAAA&#10;">
              <v:fill on="f" focussize="0,0"/>
              <v:stroke on="f"/>
              <v:imagedata o:title=""/>
              <o:lock v:ext="edit" aspectratio="f"/>
              <v:textbox inset="0mm,0mm,0mm,0mm">
                <w:txbxContent>
                  <w:p>
                    <w:pPr>
                      <w:spacing w:before="0" w:line="220" w:lineRule="exact"/>
                      <w:ind w:left="20" w:right="0" w:firstLine="0"/>
                      <w:jc w:val="left"/>
                      <w:rPr>
                        <w:b/>
                        <w:sz w:val="18"/>
                      </w:rPr>
                    </w:pPr>
                    <w:r>
                      <w:rPr>
                        <w:b/>
                        <w:sz w:val="18"/>
                      </w:rPr>
                      <w:t>招标文件</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94F45"/>
    <w:multiLevelType w:val="multilevel"/>
    <w:tmpl w:val="84994F45"/>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
    <w:nsid w:val="87B75F0A"/>
    <w:multiLevelType w:val="multilevel"/>
    <w:tmpl w:val="87B75F0A"/>
    <w:lvl w:ilvl="0" w:tentative="0">
      <w:start w:val="2"/>
      <w:numFmt w:val="decimal"/>
      <w:lvlText w:val="（%1）"/>
      <w:lvlJc w:val="left"/>
      <w:pPr>
        <w:ind w:left="13" w:hanging="533"/>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730" w:hanging="533"/>
      </w:pPr>
      <w:rPr>
        <w:rFonts w:hint="default"/>
        <w:lang w:val="zh-CN" w:eastAsia="zh-CN" w:bidi="zh-CN"/>
      </w:rPr>
    </w:lvl>
    <w:lvl w:ilvl="2" w:tentative="0">
      <w:start w:val="0"/>
      <w:numFmt w:val="bullet"/>
      <w:lvlText w:val="•"/>
      <w:lvlJc w:val="left"/>
      <w:pPr>
        <w:ind w:left="1441" w:hanging="533"/>
      </w:pPr>
      <w:rPr>
        <w:rFonts w:hint="default"/>
        <w:lang w:val="zh-CN" w:eastAsia="zh-CN" w:bidi="zh-CN"/>
      </w:rPr>
    </w:lvl>
    <w:lvl w:ilvl="3" w:tentative="0">
      <w:start w:val="0"/>
      <w:numFmt w:val="bullet"/>
      <w:lvlText w:val="•"/>
      <w:lvlJc w:val="left"/>
      <w:pPr>
        <w:ind w:left="2152" w:hanging="533"/>
      </w:pPr>
      <w:rPr>
        <w:rFonts w:hint="default"/>
        <w:lang w:val="zh-CN" w:eastAsia="zh-CN" w:bidi="zh-CN"/>
      </w:rPr>
    </w:lvl>
    <w:lvl w:ilvl="4" w:tentative="0">
      <w:start w:val="0"/>
      <w:numFmt w:val="bullet"/>
      <w:lvlText w:val="•"/>
      <w:lvlJc w:val="left"/>
      <w:pPr>
        <w:ind w:left="2863" w:hanging="533"/>
      </w:pPr>
      <w:rPr>
        <w:rFonts w:hint="default"/>
        <w:lang w:val="zh-CN" w:eastAsia="zh-CN" w:bidi="zh-CN"/>
      </w:rPr>
    </w:lvl>
    <w:lvl w:ilvl="5" w:tentative="0">
      <w:start w:val="0"/>
      <w:numFmt w:val="bullet"/>
      <w:lvlText w:val="•"/>
      <w:lvlJc w:val="left"/>
      <w:pPr>
        <w:ind w:left="3573" w:hanging="533"/>
      </w:pPr>
      <w:rPr>
        <w:rFonts w:hint="default"/>
        <w:lang w:val="zh-CN" w:eastAsia="zh-CN" w:bidi="zh-CN"/>
      </w:rPr>
    </w:lvl>
    <w:lvl w:ilvl="6" w:tentative="0">
      <w:start w:val="0"/>
      <w:numFmt w:val="bullet"/>
      <w:lvlText w:val="•"/>
      <w:lvlJc w:val="left"/>
      <w:pPr>
        <w:ind w:left="4284" w:hanging="533"/>
      </w:pPr>
      <w:rPr>
        <w:rFonts w:hint="default"/>
        <w:lang w:val="zh-CN" w:eastAsia="zh-CN" w:bidi="zh-CN"/>
      </w:rPr>
    </w:lvl>
    <w:lvl w:ilvl="7" w:tentative="0">
      <w:start w:val="0"/>
      <w:numFmt w:val="bullet"/>
      <w:lvlText w:val="•"/>
      <w:lvlJc w:val="left"/>
      <w:pPr>
        <w:ind w:left="4995" w:hanging="533"/>
      </w:pPr>
      <w:rPr>
        <w:rFonts w:hint="default"/>
        <w:lang w:val="zh-CN" w:eastAsia="zh-CN" w:bidi="zh-CN"/>
      </w:rPr>
    </w:lvl>
    <w:lvl w:ilvl="8" w:tentative="0">
      <w:start w:val="0"/>
      <w:numFmt w:val="bullet"/>
      <w:lvlText w:val="•"/>
      <w:lvlJc w:val="left"/>
      <w:pPr>
        <w:ind w:left="5706" w:hanging="533"/>
      </w:pPr>
      <w:rPr>
        <w:rFonts w:hint="default"/>
        <w:lang w:val="zh-CN" w:eastAsia="zh-CN" w:bidi="zh-CN"/>
      </w:rPr>
    </w:lvl>
  </w:abstractNum>
  <w:abstractNum w:abstractNumId="2">
    <w:nsid w:val="891523D9"/>
    <w:multiLevelType w:val="multilevel"/>
    <w:tmpl w:val="891523D9"/>
    <w:lvl w:ilvl="0" w:tentative="0">
      <w:start w:val="204"/>
      <w:numFmt w:val="decimal"/>
      <w:lvlText w:val="%1"/>
      <w:lvlJc w:val="left"/>
      <w:pPr>
        <w:ind w:left="540" w:hanging="1140"/>
        <w:jc w:val="left"/>
      </w:pPr>
      <w:rPr>
        <w:rFonts w:hint="default"/>
        <w:lang w:val="zh-CN" w:eastAsia="zh-CN" w:bidi="zh-CN"/>
      </w:rPr>
    </w:lvl>
    <w:lvl w:ilvl="1" w:tentative="0">
      <w:start w:val="1"/>
      <w:numFmt w:val="decimal"/>
      <w:lvlText w:val="%1-%2"/>
      <w:lvlJc w:val="left"/>
      <w:pPr>
        <w:ind w:left="540" w:hanging="1140"/>
        <w:jc w:val="left"/>
      </w:pPr>
      <w:rPr>
        <w:rFonts w:hint="default"/>
        <w:lang w:val="zh-CN" w:eastAsia="zh-CN" w:bidi="zh-CN"/>
      </w:rPr>
    </w:lvl>
    <w:lvl w:ilvl="2" w:tentative="0">
      <w:start w:val="10"/>
      <w:numFmt w:val="lowerLetter"/>
      <w:lvlText w:val="%1-%2-%3"/>
      <w:lvlJc w:val="left"/>
      <w:pPr>
        <w:ind w:left="540" w:hanging="1140"/>
        <w:jc w:val="left"/>
      </w:pPr>
      <w:rPr>
        <w:rFonts w:hint="default"/>
        <w:lang w:val="zh-CN" w:eastAsia="zh-CN" w:bidi="zh-CN"/>
      </w:rPr>
    </w:lvl>
    <w:lvl w:ilvl="3" w:tentative="0">
      <w:start w:val="1"/>
      <w:numFmt w:val="decimal"/>
      <w:lvlText w:val="%1-%2-%3-%4"/>
      <w:lvlJc w:val="left"/>
      <w:pPr>
        <w:ind w:left="540" w:hanging="114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1140"/>
      </w:pPr>
      <w:rPr>
        <w:rFonts w:hint="default"/>
        <w:lang w:val="zh-CN" w:eastAsia="zh-CN" w:bidi="zh-CN"/>
      </w:rPr>
    </w:lvl>
    <w:lvl w:ilvl="5" w:tentative="0">
      <w:start w:val="0"/>
      <w:numFmt w:val="bullet"/>
      <w:lvlText w:val="•"/>
      <w:lvlJc w:val="left"/>
      <w:pPr>
        <w:ind w:left="5453" w:hanging="1140"/>
      </w:pPr>
      <w:rPr>
        <w:rFonts w:hint="default"/>
        <w:lang w:val="zh-CN" w:eastAsia="zh-CN" w:bidi="zh-CN"/>
      </w:rPr>
    </w:lvl>
    <w:lvl w:ilvl="6" w:tentative="0">
      <w:start w:val="0"/>
      <w:numFmt w:val="bullet"/>
      <w:lvlText w:val="•"/>
      <w:lvlJc w:val="left"/>
      <w:pPr>
        <w:ind w:left="6436" w:hanging="1140"/>
      </w:pPr>
      <w:rPr>
        <w:rFonts w:hint="default"/>
        <w:lang w:val="zh-CN" w:eastAsia="zh-CN" w:bidi="zh-CN"/>
      </w:rPr>
    </w:lvl>
    <w:lvl w:ilvl="7" w:tentative="0">
      <w:start w:val="0"/>
      <w:numFmt w:val="bullet"/>
      <w:lvlText w:val="•"/>
      <w:lvlJc w:val="left"/>
      <w:pPr>
        <w:ind w:left="7418" w:hanging="1140"/>
      </w:pPr>
      <w:rPr>
        <w:rFonts w:hint="default"/>
        <w:lang w:val="zh-CN" w:eastAsia="zh-CN" w:bidi="zh-CN"/>
      </w:rPr>
    </w:lvl>
    <w:lvl w:ilvl="8" w:tentative="0">
      <w:start w:val="0"/>
      <w:numFmt w:val="bullet"/>
      <w:lvlText w:val="•"/>
      <w:lvlJc w:val="left"/>
      <w:pPr>
        <w:ind w:left="8401" w:hanging="1140"/>
      </w:pPr>
      <w:rPr>
        <w:rFonts w:hint="default"/>
        <w:lang w:val="zh-CN" w:eastAsia="zh-CN" w:bidi="zh-CN"/>
      </w:rPr>
    </w:lvl>
  </w:abstractNum>
  <w:abstractNum w:abstractNumId="3">
    <w:nsid w:val="9017BA21"/>
    <w:multiLevelType w:val="multilevel"/>
    <w:tmpl w:val="9017BA21"/>
    <w:lvl w:ilvl="0" w:tentative="0">
      <w:start w:val="16"/>
      <w:numFmt w:val="decimal"/>
      <w:lvlText w:val="%1"/>
      <w:lvlJc w:val="left"/>
      <w:pPr>
        <w:ind w:left="1320" w:hanging="780"/>
        <w:jc w:val="left"/>
      </w:pPr>
      <w:rPr>
        <w:rFonts w:hint="default"/>
        <w:lang w:val="zh-CN" w:eastAsia="zh-CN" w:bidi="zh-CN"/>
      </w:rPr>
    </w:lvl>
    <w:lvl w:ilvl="1" w:tentative="0">
      <w:start w:val="1"/>
      <w:numFmt w:val="decimal"/>
      <w:lvlText w:val="%1.%2"/>
      <w:lvlJc w:val="left"/>
      <w:pPr>
        <w:ind w:left="1320" w:hanging="780"/>
        <w:jc w:val="left"/>
      </w:pPr>
      <w:rPr>
        <w:rFonts w:hint="default"/>
        <w:lang w:val="zh-CN" w:eastAsia="zh-CN" w:bidi="zh-CN"/>
      </w:rPr>
    </w:lvl>
    <w:lvl w:ilvl="2" w:tentative="0">
      <w:start w:val="3"/>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1"/>
      <w:numFmt w:val="decimal"/>
      <w:lvlText w:val="%1.%2.%3.%4"/>
      <w:lvlJc w:val="left"/>
      <w:pPr>
        <w:ind w:left="1560" w:hanging="102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95" w:hanging="1020"/>
      </w:pPr>
      <w:rPr>
        <w:rFonts w:hint="default"/>
        <w:lang w:val="zh-CN" w:eastAsia="zh-CN" w:bidi="zh-CN"/>
      </w:rPr>
    </w:lvl>
    <w:lvl w:ilvl="5" w:tentative="0">
      <w:start w:val="0"/>
      <w:numFmt w:val="bullet"/>
      <w:lvlText w:val="•"/>
      <w:lvlJc w:val="left"/>
      <w:pPr>
        <w:ind w:left="5474" w:hanging="1020"/>
      </w:pPr>
      <w:rPr>
        <w:rFonts w:hint="default"/>
        <w:lang w:val="zh-CN" w:eastAsia="zh-CN" w:bidi="zh-CN"/>
      </w:rPr>
    </w:lvl>
    <w:lvl w:ilvl="6" w:tentative="0">
      <w:start w:val="0"/>
      <w:numFmt w:val="bullet"/>
      <w:lvlText w:val="•"/>
      <w:lvlJc w:val="left"/>
      <w:pPr>
        <w:ind w:left="6452" w:hanging="1020"/>
      </w:pPr>
      <w:rPr>
        <w:rFonts w:hint="default"/>
        <w:lang w:val="zh-CN" w:eastAsia="zh-CN" w:bidi="zh-CN"/>
      </w:rPr>
    </w:lvl>
    <w:lvl w:ilvl="7" w:tentative="0">
      <w:start w:val="0"/>
      <w:numFmt w:val="bullet"/>
      <w:lvlText w:val="•"/>
      <w:lvlJc w:val="left"/>
      <w:pPr>
        <w:ind w:left="7431" w:hanging="1020"/>
      </w:pPr>
      <w:rPr>
        <w:rFonts w:hint="default"/>
        <w:lang w:val="zh-CN" w:eastAsia="zh-CN" w:bidi="zh-CN"/>
      </w:rPr>
    </w:lvl>
    <w:lvl w:ilvl="8" w:tentative="0">
      <w:start w:val="0"/>
      <w:numFmt w:val="bullet"/>
      <w:lvlText w:val="•"/>
      <w:lvlJc w:val="left"/>
      <w:pPr>
        <w:ind w:left="8409" w:hanging="1020"/>
      </w:pPr>
      <w:rPr>
        <w:rFonts w:hint="default"/>
        <w:lang w:val="zh-CN" w:eastAsia="zh-CN" w:bidi="zh-CN"/>
      </w:rPr>
    </w:lvl>
  </w:abstractNum>
  <w:abstractNum w:abstractNumId="4">
    <w:nsid w:val="90D96B34"/>
    <w:multiLevelType w:val="multilevel"/>
    <w:tmpl w:val="90D96B34"/>
    <w:lvl w:ilvl="0" w:tentative="0">
      <w:start w:val="315"/>
      <w:numFmt w:val="decimal"/>
      <w:lvlText w:val="%1"/>
      <w:lvlJc w:val="left"/>
      <w:pPr>
        <w:ind w:left="1621" w:hanging="601"/>
        <w:jc w:val="left"/>
      </w:pPr>
      <w:rPr>
        <w:rFonts w:hint="default"/>
        <w:lang w:val="zh-CN" w:eastAsia="zh-CN" w:bidi="zh-CN"/>
      </w:rPr>
    </w:lvl>
    <w:lvl w:ilvl="1" w:tentative="0">
      <w:start w:val="9"/>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5">
    <w:nsid w:val="92C4F22A"/>
    <w:multiLevelType w:val="multilevel"/>
    <w:tmpl w:val="92C4F22A"/>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6">
    <w:nsid w:val="930EE254"/>
    <w:multiLevelType w:val="multilevel"/>
    <w:tmpl w:val="930EE254"/>
    <w:lvl w:ilvl="0" w:tentative="0">
      <w:start w:val="1"/>
      <w:numFmt w:val="decimal"/>
      <w:lvlText w:val="（%1）"/>
      <w:lvlJc w:val="left"/>
      <w:pPr>
        <w:ind w:left="540" w:hanging="601"/>
        <w:jc w:val="left"/>
      </w:pPr>
      <w:rPr>
        <w:rFonts w:hint="default" w:ascii="宋体" w:hAnsi="宋体" w:eastAsia="宋体" w:cs="宋体"/>
        <w:spacing w:val="-8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7">
    <w:nsid w:val="941D12A9"/>
    <w:multiLevelType w:val="multilevel"/>
    <w:tmpl w:val="941D12A9"/>
    <w:lvl w:ilvl="0" w:tentative="0">
      <w:start w:val="1"/>
      <w:numFmt w:val="decimal"/>
      <w:lvlText w:val="%1"/>
      <w:lvlJc w:val="left"/>
      <w:pPr>
        <w:ind w:left="540" w:hanging="900"/>
        <w:jc w:val="left"/>
      </w:pPr>
      <w:rPr>
        <w:rFonts w:hint="default"/>
        <w:lang w:val="zh-CN" w:eastAsia="zh-CN" w:bidi="zh-CN"/>
      </w:rPr>
    </w:lvl>
    <w:lvl w:ilvl="1" w:tentative="0">
      <w:start w:val="1"/>
      <w:numFmt w:val="decimal"/>
      <w:lvlText w:val="%1.%2"/>
      <w:lvlJc w:val="left"/>
      <w:pPr>
        <w:ind w:left="540" w:hanging="900"/>
        <w:jc w:val="left"/>
      </w:pPr>
      <w:rPr>
        <w:rFonts w:hint="default"/>
        <w:lang w:val="zh-CN" w:eastAsia="zh-CN" w:bidi="zh-CN"/>
      </w:rPr>
    </w:lvl>
    <w:lvl w:ilvl="2" w:tentative="0">
      <w:start w:val="6"/>
      <w:numFmt w:val="decimal"/>
      <w:lvlText w:val="%1.%2.%3"/>
      <w:lvlJc w:val="left"/>
      <w:pPr>
        <w:ind w:left="540" w:hanging="900"/>
        <w:jc w:val="left"/>
      </w:pPr>
      <w:rPr>
        <w:rFonts w:hint="default"/>
        <w:lang w:val="zh-CN" w:eastAsia="zh-CN" w:bidi="zh-CN"/>
      </w:rPr>
    </w:lvl>
    <w:lvl w:ilvl="3" w:tentative="0">
      <w:start w:val="2"/>
      <w:numFmt w:val="decimal"/>
      <w:lvlText w:val="%1.%2.%3.%4"/>
      <w:lvlJc w:val="left"/>
      <w:pPr>
        <w:ind w:left="540" w:hanging="90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900"/>
      </w:pPr>
      <w:rPr>
        <w:rFonts w:hint="default"/>
        <w:lang w:val="zh-CN" w:eastAsia="zh-CN" w:bidi="zh-CN"/>
      </w:rPr>
    </w:lvl>
    <w:lvl w:ilvl="5" w:tentative="0">
      <w:start w:val="0"/>
      <w:numFmt w:val="bullet"/>
      <w:lvlText w:val="•"/>
      <w:lvlJc w:val="left"/>
      <w:pPr>
        <w:ind w:left="5453" w:hanging="900"/>
      </w:pPr>
      <w:rPr>
        <w:rFonts w:hint="default"/>
        <w:lang w:val="zh-CN" w:eastAsia="zh-CN" w:bidi="zh-CN"/>
      </w:rPr>
    </w:lvl>
    <w:lvl w:ilvl="6" w:tentative="0">
      <w:start w:val="0"/>
      <w:numFmt w:val="bullet"/>
      <w:lvlText w:val="•"/>
      <w:lvlJc w:val="left"/>
      <w:pPr>
        <w:ind w:left="6436" w:hanging="900"/>
      </w:pPr>
      <w:rPr>
        <w:rFonts w:hint="default"/>
        <w:lang w:val="zh-CN" w:eastAsia="zh-CN" w:bidi="zh-CN"/>
      </w:rPr>
    </w:lvl>
    <w:lvl w:ilvl="7" w:tentative="0">
      <w:start w:val="0"/>
      <w:numFmt w:val="bullet"/>
      <w:lvlText w:val="•"/>
      <w:lvlJc w:val="left"/>
      <w:pPr>
        <w:ind w:left="7418" w:hanging="900"/>
      </w:pPr>
      <w:rPr>
        <w:rFonts w:hint="default"/>
        <w:lang w:val="zh-CN" w:eastAsia="zh-CN" w:bidi="zh-CN"/>
      </w:rPr>
    </w:lvl>
    <w:lvl w:ilvl="8" w:tentative="0">
      <w:start w:val="0"/>
      <w:numFmt w:val="bullet"/>
      <w:lvlText w:val="•"/>
      <w:lvlJc w:val="left"/>
      <w:pPr>
        <w:ind w:left="8401" w:hanging="900"/>
      </w:pPr>
      <w:rPr>
        <w:rFonts w:hint="default"/>
        <w:lang w:val="zh-CN" w:eastAsia="zh-CN" w:bidi="zh-CN"/>
      </w:rPr>
    </w:lvl>
  </w:abstractNum>
  <w:abstractNum w:abstractNumId="8">
    <w:nsid w:val="952530A5"/>
    <w:multiLevelType w:val="multilevel"/>
    <w:tmpl w:val="952530A5"/>
    <w:lvl w:ilvl="0" w:tentative="0">
      <w:start w:val="18"/>
      <w:numFmt w:val="decimal"/>
      <w:lvlText w:val="%1"/>
      <w:lvlJc w:val="left"/>
      <w:pPr>
        <w:ind w:left="540" w:hanging="540"/>
        <w:jc w:val="left"/>
      </w:pPr>
      <w:rPr>
        <w:rFonts w:hint="default"/>
        <w:lang w:val="zh-CN" w:eastAsia="zh-CN" w:bidi="zh-CN"/>
      </w:rPr>
    </w:lvl>
    <w:lvl w:ilvl="1" w:tentative="0">
      <w:start w:val="2"/>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505" w:hanging="540"/>
      </w:pPr>
      <w:rPr>
        <w:rFonts w:hint="default"/>
        <w:lang w:val="zh-CN" w:eastAsia="zh-CN" w:bidi="zh-CN"/>
      </w:rPr>
    </w:lvl>
    <w:lvl w:ilvl="3" w:tentative="0">
      <w:start w:val="0"/>
      <w:numFmt w:val="bullet"/>
      <w:lvlText w:val="•"/>
      <w:lvlJc w:val="left"/>
      <w:pPr>
        <w:ind w:left="3488" w:hanging="540"/>
      </w:pPr>
      <w:rPr>
        <w:rFonts w:hint="default"/>
        <w:lang w:val="zh-CN" w:eastAsia="zh-CN" w:bidi="zh-CN"/>
      </w:rPr>
    </w:lvl>
    <w:lvl w:ilvl="4" w:tentative="0">
      <w:start w:val="0"/>
      <w:numFmt w:val="bullet"/>
      <w:lvlText w:val="•"/>
      <w:lvlJc w:val="left"/>
      <w:pPr>
        <w:ind w:left="4470" w:hanging="540"/>
      </w:pPr>
      <w:rPr>
        <w:rFonts w:hint="default"/>
        <w:lang w:val="zh-CN" w:eastAsia="zh-CN" w:bidi="zh-CN"/>
      </w:rPr>
    </w:lvl>
    <w:lvl w:ilvl="5" w:tentative="0">
      <w:start w:val="0"/>
      <w:numFmt w:val="bullet"/>
      <w:lvlText w:val="•"/>
      <w:lvlJc w:val="left"/>
      <w:pPr>
        <w:ind w:left="5453" w:hanging="540"/>
      </w:pPr>
      <w:rPr>
        <w:rFonts w:hint="default"/>
        <w:lang w:val="zh-CN" w:eastAsia="zh-CN" w:bidi="zh-CN"/>
      </w:rPr>
    </w:lvl>
    <w:lvl w:ilvl="6" w:tentative="0">
      <w:start w:val="0"/>
      <w:numFmt w:val="bullet"/>
      <w:lvlText w:val="•"/>
      <w:lvlJc w:val="left"/>
      <w:pPr>
        <w:ind w:left="6436" w:hanging="540"/>
      </w:pPr>
      <w:rPr>
        <w:rFonts w:hint="default"/>
        <w:lang w:val="zh-CN" w:eastAsia="zh-CN" w:bidi="zh-CN"/>
      </w:rPr>
    </w:lvl>
    <w:lvl w:ilvl="7" w:tentative="0">
      <w:start w:val="0"/>
      <w:numFmt w:val="bullet"/>
      <w:lvlText w:val="•"/>
      <w:lvlJc w:val="left"/>
      <w:pPr>
        <w:ind w:left="7418" w:hanging="540"/>
      </w:pPr>
      <w:rPr>
        <w:rFonts w:hint="default"/>
        <w:lang w:val="zh-CN" w:eastAsia="zh-CN" w:bidi="zh-CN"/>
      </w:rPr>
    </w:lvl>
    <w:lvl w:ilvl="8" w:tentative="0">
      <w:start w:val="0"/>
      <w:numFmt w:val="bullet"/>
      <w:lvlText w:val="•"/>
      <w:lvlJc w:val="left"/>
      <w:pPr>
        <w:ind w:left="8401" w:hanging="540"/>
      </w:pPr>
      <w:rPr>
        <w:rFonts w:hint="default"/>
        <w:lang w:val="zh-CN" w:eastAsia="zh-CN" w:bidi="zh-CN"/>
      </w:rPr>
    </w:lvl>
  </w:abstractNum>
  <w:abstractNum w:abstractNumId="9">
    <w:nsid w:val="95E682A1"/>
    <w:multiLevelType w:val="multilevel"/>
    <w:tmpl w:val="95E682A1"/>
    <w:lvl w:ilvl="0" w:tentative="0">
      <w:start w:val="4"/>
      <w:numFmt w:val="decimal"/>
      <w:lvlText w:val="%1"/>
      <w:lvlJc w:val="left"/>
      <w:pPr>
        <w:ind w:left="1023" w:hanging="483"/>
        <w:jc w:val="left"/>
      </w:pPr>
      <w:rPr>
        <w:rFonts w:hint="default"/>
        <w:lang w:val="zh-CN" w:eastAsia="zh-CN" w:bidi="zh-CN"/>
      </w:rPr>
    </w:lvl>
    <w:lvl w:ilvl="1" w:tentative="0">
      <w:start w:val="3"/>
      <w:numFmt w:val="decimal"/>
      <w:lvlText w:val="%1.%2"/>
      <w:lvlJc w:val="left"/>
      <w:pPr>
        <w:ind w:left="1023" w:hanging="483"/>
        <w:jc w:val="left"/>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694" w:hanging="728"/>
        <w:jc w:val="left"/>
      </w:pPr>
      <w:rPr>
        <w:rFonts w:hint="default" w:ascii="宋体" w:hAnsi="宋体" w:eastAsia="宋体" w:cs="宋体"/>
        <w:b/>
        <w:bCs/>
        <w:spacing w:val="0"/>
        <w:w w:val="99"/>
        <w:sz w:val="24"/>
        <w:szCs w:val="24"/>
        <w:lang w:val="zh-CN" w:eastAsia="zh-CN" w:bidi="zh-CN"/>
      </w:rPr>
    </w:lvl>
    <w:lvl w:ilvl="3" w:tentative="0">
      <w:start w:val="0"/>
      <w:numFmt w:val="bullet"/>
      <w:lvlText w:val="•"/>
      <w:lvlJc w:val="left"/>
      <w:pPr>
        <w:ind w:left="3097" w:hanging="728"/>
      </w:pPr>
      <w:rPr>
        <w:rFonts w:hint="default"/>
        <w:lang w:val="zh-CN" w:eastAsia="zh-CN" w:bidi="zh-CN"/>
      </w:rPr>
    </w:lvl>
    <w:lvl w:ilvl="4" w:tentative="0">
      <w:start w:val="0"/>
      <w:numFmt w:val="bullet"/>
      <w:lvlText w:val="•"/>
      <w:lvlJc w:val="left"/>
      <w:pPr>
        <w:ind w:left="4135" w:hanging="728"/>
      </w:pPr>
      <w:rPr>
        <w:rFonts w:hint="default"/>
        <w:lang w:val="zh-CN" w:eastAsia="zh-CN" w:bidi="zh-CN"/>
      </w:rPr>
    </w:lvl>
    <w:lvl w:ilvl="5" w:tentative="0">
      <w:start w:val="0"/>
      <w:numFmt w:val="bullet"/>
      <w:lvlText w:val="•"/>
      <w:lvlJc w:val="left"/>
      <w:pPr>
        <w:ind w:left="5174" w:hanging="728"/>
      </w:pPr>
      <w:rPr>
        <w:rFonts w:hint="default"/>
        <w:lang w:val="zh-CN" w:eastAsia="zh-CN" w:bidi="zh-CN"/>
      </w:rPr>
    </w:lvl>
    <w:lvl w:ilvl="6" w:tentative="0">
      <w:start w:val="0"/>
      <w:numFmt w:val="bullet"/>
      <w:lvlText w:val="•"/>
      <w:lvlJc w:val="left"/>
      <w:pPr>
        <w:ind w:left="6212" w:hanging="728"/>
      </w:pPr>
      <w:rPr>
        <w:rFonts w:hint="default"/>
        <w:lang w:val="zh-CN" w:eastAsia="zh-CN" w:bidi="zh-CN"/>
      </w:rPr>
    </w:lvl>
    <w:lvl w:ilvl="7" w:tentative="0">
      <w:start w:val="0"/>
      <w:numFmt w:val="bullet"/>
      <w:lvlText w:val="•"/>
      <w:lvlJc w:val="left"/>
      <w:pPr>
        <w:ind w:left="7251" w:hanging="728"/>
      </w:pPr>
      <w:rPr>
        <w:rFonts w:hint="default"/>
        <w:lang w:val="zh-CN" w:eastAsia="zh-CN" w:bidi="zh-CN"/>
      </w:rPr>
    </w:lvl>
    <w:lvl w:ilvl="8" w:tentative="0">
      <w:start w:val="0"/>
      <w:numFmt w:val="bullet"/>
      <w:lvlText w:val="•"/>
      <w:lvlJc w:val="left"/>
      <w:pPr>
        <w:ind w:left="8289" w:hanging="728"/>
      </w:pPr>
      <w:rPr>
        <w:rFonts w:hint="default"/>
        <w:lang w:val="zh-CN" w:eastAsia="zh-CN" w:bidi="zh-CN"/>
      </w:rPr>
    </w:lvl>
  </w:abstractNum>
  <w:abstractNum w:abstractNumId="10">
    <w:nsid w:val="96E5236C"/>
    <w:multiLevelType w:val="multilevel"/>
    <w:tmpl w:val="96E5236C"/>
    <w:lvl w:ilvl="0" w:tentative="0">
      <w:start w:val="20"/>
      <w:numFmt w:val="decimal"/>
      <w:lvlText w:val="%1"/>
      <w:lvlJc w:val="left"/>
      <w:pPr>
        <w:ind w:left="540" w:hanging="540"/>
        <w:jc w:val="left"/>
      </w:pPr>
      <w:rPr>
        <w:rFonts w:hint="default"/>
        <w:lang w:val="zh-CN" w:eastAsia="zh-CN" w:bidi="zh-CN"/>
      </w:rPr>
    </w:lvl>
    <w:lvl w:ilvl="1" w:tentative="0">
      <w:start w:val="4"/>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11">
    <w:nsid w:val="9B1F845E"/>
    <w:multiLevelType w:val="multilevel"/>
    <w:tmpl w:val="9B1F845E"/>
    <w:lvl w:ilvl="0" w:tentative="0">
      <w:start w:val="16"/>
      <w:numFmt w:val="decimal"/>
      <w:lvlText w:val="%1"/>
      <w:lvlJc w:val="left"/>
      <w:pPr>
        <w:ind w:left="1080" w:hanging="540"/>
        <w:jc w:val="left"/>
      </w:pPr>
      <w:rPr>
        <w:rFonts w:hint="default"/>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12">
    <w:nsid w:val="9C919DE1"/>
    <w:multiLevelType w:val="multilevel"/>
    <w:tmpl w:val="9C919DE1"/>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3">
    <w:nsid w:val="9CD0C84A"/>
    <w:multiLevelType w:val="multilevel"/>
    <w:tmpl w:val="9CD0C84A"/>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4">
    <w:nsid w:val="9D7EB8E6"/>
    <w:multiLevelType w:val="multilevel"/>
    <w:tmpl w:val="9D7EB8E6"/>
    <w:lvl w:ilvl="0" w:tentative="0">
      <w:start w:val="5"/>
      <w:numFmt w:val="decimal"/>
      <w:lvlText w:val="%1"/>
      <w:lvlJc w:val="left"/>
      <w:pPr>
        <w:ind w:left="780" w:hanging="480"/>
        <w:jc w:val="left"/>
      </w:pPr>
      <w:rPr>
        <w:rFonts w:hint="default"/>
        <w:lang w:val="zh-CN" w:eastAsia="zh-CN" w:bidi="zh-CN"/>
      </w:rPr>
    </w:lvl>
    <w:lvl w:ilvl="1" w:tentative="0">
      <w:start w:val="1"/>
      <w:numFmt w:val="decimal"/>
      <w:lvlText w:val="%1.%2"/>
      <w:lvlJc w:val="left"/>
      <w:pPr>
        <w:ind w:left="780" w:hanging="480"/>
        <w:jc w:val="left"/>
      </w:pPr>
      <w:rPr>
        <w:rFonts w:hint="default" w:ascii="宋体" w:hAnsi="宋体" w:eastAsia="宋体" w:cs="宋体"/>
        <w:spacing w:val="-60"/>
        <w:w w:val="100"/>
        <w:sz w:val="24"/>
        <w:szCs w:val="24"/>
        <w:lang w:val="zh-CN" w:eastAsia="zh-CN" w:bidi="zh-CN"/>
      </w:rPr>
    </w:lvl>
    <w:lvl w:ilvl="2" w:tentative="0">
      <w:start w:val="0"/>
      <w:numFmt w:val="bullet"/>
      <w:lvlText w:val="•"/>
      <w:lvlJc w:val="left"/>
      <w:pPr>
        <w:ind w:left="2697" w:hanging="480"/>
      </w:pPr>
      <w:rPr>
        <w:rFonts w:hint="default"/>
        <w:lang w:val="zh-CN" w:eastAsia="zh-CN" w:bidi="zh-CN"/>
      </w:rPr>
    </w:lvl>
    <w:lvl w:ilvl="3" w:tentative="0">
      <w:start w:val="0"/>
      <w:numFmt w:val="bullet"/>
      <w:lvlText w:val="•"/>
      <w:lvlJc w:val="left"/>
      <w:pPr>
        <w:ind w:left="3656" w:hanging="480"/>
      </w:pPr>
      <w:rPr>
        <w:rFonts w:hint="default"/>
        <w:lang w:val="zh-CN" w:eastAsia="zh-CN" w:bidi="zh-CN"/>
      </w:rPr>
    </w:lvl>
    <w:lvl w:ilvl="4" w:tentative="0">
      <w:start w:val="0"/>
      <w:numFmt w:val="bullet"/>
      <w:lvlText w:val="•"/>
      <w:lvlJc w:val="left"/>
      <w:pPr>
        <w:ind w:left="4614" w:hanging="480"/>
      </w:pPr>
      <w:rPr>
        <w:rFonts w:hint="default"/>
        <w:lang w:val="zh-CN" w:eastAsia="zh-CN" w:bidi="zh-CN"/>
      </w:rPr>
    </w:lvl>
    <w:lvl w:ilvl="5" w:tentative="0">
      <w:start w:val="0"/>
      <w:numFmt w:val="bullet"/>
      <w:lvlText w:val="•"/>
      <w:lvlJc w:val="left"/>
      <w:pPr>
        <w:ind w:left="5573" w:hanging="480"/>
      </w:pPr>
      <w:rPr>
        <w:rFonts w:hint="default"/>
        <w:lang w:val="zh-CN" w:eastAsia="zh-CN" w:bidi="zh-CN"/>
      </w:rPr>
    </w:lvl>
    <w:lvl w:ilvl="6" w:tentative="0">
      <w:start w:val="0"/>
      <w:numFmt w:val="bullet"/>
      <w:lvlText w:val="•"/>
      <w:lvlJc w:val="left"/>
      <w:pPr>
        <w:ind w:left="6532" w:hanging="480"/>
      </w:pPr>
      <w:rPr>
        <w:rFonts w:hint="default"/>
        <w:lang w:val="zh-CN" w:eastAsia="zh-CN" w:bidi="zh-CN"/>
      </w:rPr>
    </w:lvl>
    <w:lvl w:ilvl="7" w:tentative="0">
      <w:start w:val="0"/>
      <w:numFmt w:val="bullet"/>
      <w:lvlText w:val="•"/>
      <w:lvlJc w:val="left"/>
      <w:pPr>
        <w:ind w:left="7490" w:hanging="480"/>
      </w:pPr>
      <w:rPr>
        <w:rFonts w:hint="default"/>
        <w:lang w:val="zh-CN" w:eastAsia="zh-CN" w:bidi="zh-CN"/>
      </w:rPr>
    </w:lvl>
    <w:lvl w:ilvl="8" w:tentative="0">
      <w:start w:val="0"/>
      <w:numFmt w:val="bullet"/>
      <w:lvlText w:val="•"/>
      <w:lvlJc w:val="left"/>
      <w:pPr>
        <w:ind w:left="8449" w:hanging="480"/>
      </w:pPr>
      <w:rPr>
        <w:rFonts w:hint="default"/>
        <w:lang w:val="zh-CN" w:eastAsia="zh-CN" w:bidi="zh-CN"/>
      </w:rPr>
    </w:lvl>
  </w:abstractNum>
  <w:abstractNum w:abstractNumId="15">
    <w:nsid w:val="9D9F4F4D"/>
    <w:multiLevelType w:val="multilevel"/>
    <w:tmpl w:val="9D9F4F4D"/>
    <w:lvl w:ilvl="0" w:tentative="0">
      <w:start w:val="13"/>
      <w:numFmt w:val="decimal"/>
      <w:lvlText w:val="%1"/>
      <w:lvlJc w:val="left"/>
      <w:pPr>
        <w:ind w:left="1080" w:hanging="540"/>
        <w:jc w:val="left"/>
      </w:pPr>
      <w:rPr>
        <w:rFonts w:hint="default"/>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16">
    <w:nsid w:val="9F91FE98"/>
    <w:multiLevelType w:val="multilevel"/>
    <w:tmpl w:val="9F91FE98"/>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7">
    <w:nsid w:val="A0F25EF7"/>
    <w:multiLevelType w:val="multilevel"/>
    <w:tmpl w:val="A0F25EF7"/>
    <w:lvl w:ilvl="0" w:tentative="0">
      <w:start w:val="4"/>
      <w:numFmt w:val="decimal"/>
      <w:lvlText w:val="%1"/>
      <w:lvlJc w:val="left"/>
      <w:pPr>
        <w:ind w:left="1301" w:hanging="761"/>
        <w:jc w:val="left"/>
      </w:pPr>
      <w:rPr>
        <w:rFonts w:hint="default"/>
        <w:lang w:val="zh-CN" w:eastAsia="zh-CN" w:bidi="zh-CN"/>
      </w:rPr>
    </w:lvl>
    <w:lvl w:ilvl="1" w:tentative="0">
      <w:start w:val="11"/>
      <w:numFmt w:val="decimal"/>
      <w:lvlText w:val="%1.%2"/>
      <w:lvlJc w:val="left"/>
      <w:pPr>
        <w:ind w:left="1301" w:hanging="761"/>
        <w:jc w:val="left"/>
      </w:pPr>
      <w:rPr>
        <w:rFonts w:hint="default" w:ascii="宋体" w:hAnsi="宋体" w:eastAsia="宋体" w:cs="宋体"/>
        <w:b/>
        <w:bCs/>
        <w:spacing w:val="0"/>
        <w:w w:val="103"/>
        <w:sz w:val="24"/>
        <w:szCs w:val="24"/>
        <w:lang w:val="zh-CN" w:eastAsia="zh-CN" w:bidi="zh-CN"/>
      </w:rPr>
    </w:lvl>
    <w:lvl w:ilvl="2" w:tentative="0">
      <w:start w:val="1"/>
      <w:numFmt w:val="decimal"/>
      <w:lvlText w:val="%1.%2.%3"/>
      <w:lvlJc w:val="left"/>
      <w:pPr>
        <w:ind w:left="1464" w:hanging="924"/>
        <w:jc w:val="left"/>
      </w:pPr>
      <w:rPr>
        <w:rFonts w:hint="default" w:ascii="宋体" w:hAnsi="宋体" w:eastAsia="宋体" w:cs="宋体"/>
        <w:w w:val="110"/>
        <w:sz w:val="24"/>
        <w:szCs w:val="24"/>
        <w:lang w:val="zh-CN" w:eastAsia="zh-CN" w:bidi="zh-CN"/>
      </w:rPr>
    </w:lvl>
    <w:lvl w:ilvl="3" w:tentative="0">
      <w:start w:val="0"/>
      <w:numFmt w:val="bullet"/>
      <w:lvlText w:val="•"/>
      <w:lvlJc w:val="left"/>
      <w:pPr>
        <w:ind w:left="3439" w:hanging="924"/>
      </w:pPr>
      <w:rPr>
        <w:rFonts w:hint="default"/>
        <w:lang w:val="zh-CN" w:eastAsia="zh-CN" w:bidi="zh-CN"/>
      </w:rPr>
    </w:lvl>
    <w:lvl w:ilvl="4" w:tentative="0">
      <w:start w:val="0"/>
      <w:numFmt w:val="bullet"/>
      <w:lvlText w:val="•"/>
      <w:lvlJc w:val="left"/>
      <w:pPr>
        <w:ind w:left="4429" w:hanging="924"/>
      </w:pPr>
      <w:rPr>
        <w:rFonts w:hint="default"/>
        <w:lang w:val="zh-CN" w:eastAsia="zh-CN" w:bidi="zh-CN"/>
      </w:rPr>
    </w:lvl>
    <w:lvl w:ilvl="5" w:tentative="0">
      <w:start w:val="0"/>
      <w:numFmt w:val="bullet"/>
      <w:lvlText w:val="•"/>
      <w:lvlJc w:val="left"/>
      <w:pPr>
        <w:ind w:left="5418" w:hanging="924"/>
      </w:pPr>
      <w:rPr>
        <w:rFonts w:hint="default"/>
        <w:lang w:val="zh-CN" w:eastAsia="zh-CN" w:bidi="zh-CN"/>
      </w:rPr>
    </w:lvl>
    <w:lvl w:ilvl="6" w:tentative="0">
      <w:start w:val="0"/>
      <w:numFmt w:val="bullet"/>
      <w:lvlText w:val="•"/>
      <w:lvlJc w:val="left"/>
      <w:pPr>
        <w:ind w:left="6408" w:hanging="924"/>
      </w:pPr>
      <w:rPr>
        <w:rFonts w:hint="default"/>
        <w:lang w:val="zh-CN" w:eastAsia="zh-CN" w:bidi="zh-CN"/>
      </w:rPr>
    </w:lvl>
    <w:lvl w:ilvl="7" w:tentative="0">
      <w:start w:val="0"/>
      <w:numFmt w:val="bullet"/>
      <w:lvlText w:val="•"/>
      <w:lvlJc w:val="left"/>
      <w:pPr>
        <w:ind w:left="7398" w:hanging="924"/>
      </w:pPr>
      <w:rPr>
        <w:rFonts w:hint="default"/>
        <w:lang w:val="zh-CN" w:eastAsia="zh-CN" w:bidi="zh-CN"/>
      </w:rPr>
    </w:lvl>
    <w:lvl w:ilvl="8" w:tentative="0">
      <w:start w:val="0"/>
      <w:numFmt w:val="bullet"/>
      <w:lvlText w:val="•"/>
      <w:lvlJc w:val="left"/>
      <w:pPr>
        <w:ind w:left="8387" w:hanging="924"/>
      </w:pPr>
      <w:rPr>
        <w:rFonts w:hint="default"/>
        <w:lang w:val="zh-CN" w:eastAsia="zh-CN" w:bidi="zh-CN"/>
      </w:rPr>
    </w:lvl>
  </w:abstractNum>
  <w:abstractNum w:abstractNumId="18">
    <w:nsid w:val="A362769C"/>
    <w:multiLevelType w:val="multilevel"/>
    <w:tmpl w:val="A362769C"/>
    <w:lvl w:ilvl="0" w:tentative="0">
      <w:start w:val="1"/>
      <w:numFmt w:val="decimal"/>
      <w:lvlText w:val="%1."/>
      <w:lvlJc w:val="left"/>
      <w:pPr>
        <w:ind w:left="126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19">
    <w:nsid w:val="A5435042"/>
    <w:multiLevelType w:val="multilevel"/>
    <w:tmpl w:val="A5435042"/>
    <w:lvl w:ilvl="0" w:tentative="0">
      <w:start w:val="3"/>
      <w:numFmt w:val="decimal"/>
      <w:lvlText w:val="%1"/>
      <w:lvlJc w:val="left"/>
      <w:pPr>
        <w:ind w:left="540" w:hanging="660"/>
        <w:jc w:val="left"/>
      </w:pPr>
      <w:rPr>
        <w:rFonts w:hint="default"/>
        <w:lang w:val="zh-CN" w:eastAsia="zh-CN" w:bidi="zh-CN"/>
      </w:rPr>
    </w:lvl>
    <w:lvl w:ilvl="1" w:tentative="0">
      <w:start w:val="7"/>
      <w:numFmt w:val="decimal"/>
      <w:lvlText w:val="%1.%2"/>
      <w:lvlJc w:val="left"/>
      <w:pPr>
        <w:ind w:left="540" w:hanging="660"/>
        <w:jc w:val="left"/>
      </w:pPr>
      <w:rPr>
        <w:rFonts w:hint="default"/>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20">
    <w:nsid w:val="A97D620A"/>
    <w:multiLevelType w:val="multilevel"/>
    <w:tmpl w:val="A97D620A"/>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3" w:hanging="212"/>
      </w:pPr>
      <w:rPr>
        <w:rFonts w:hint="default"/>
        <w:lang w:val="zh-CN" w:eastAsia="zh-CN" w:bidi="zh-CN"/>
      </w:rPr>
    </w:lvl>
    <w:lvl w:ilvl="6" w:tentative="0">
      <w:start w:val="0"/>
      <w:numFmt w:val="bullet"/>
      <w:lvlText w:val="•"/>
      <w:lvlJc w:val="left"/>
      <w:pPr>
        <w:ind w:left="4284"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21">
    <w:nsid w:val="AC38AFEB"/>
    <w:multiLevelType w:val="multilevel"/>
    <w:tmpl w:val="AC38AFEB"/>
    <w:lvl w:ilvl="0" w:tentative="0">
      <w:start w:val="20"/>
      <w:numFmt w:val="decimal"/>
      <w:lvlText w:val="%1"/>
      <w:lvlJc w:val="left"/>
      <w:pPr>
        <w:ind w:left="1320" w:hanging="780"/>
        <w:jc w:val="left"/>
      </w:pPr>
      <w:rPr>
        <w:rFonts w:hint="default"/>
        <w:lang w:val="zh-CN" w:eastAsia="zh-CN" w:bidi="zh-CN"/>
      </w:rPr>
    </w:lvl>
    <w:lvl w:ilvl="1" w:tentative="0">
      <w:start w:val="6"/>
      <w:numFmt w:val="decimal"/>
      <w:lvlText w:val="%1.%2"/>
      <w:lvlJc w:val="left"/>
      <w:pPr>
        <w:ind w:left="1320" w:hanging="780"/>
        <w:jc w:val="left"/>
      </w:pPr>
      <w:rPr>
        <w:rFonts w:hint="default"/>
        <w:lang w:val="zh-CN" w:eastAsia="zh-CN" w:bidi="zh-CN"/>
      </w:rPr>
    </w:lvl>
    <w:lvl w:ilvl="2" w:tentative="0">
      <w:start w:val="3"/>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034" w:hanging="780"/>
      </w:pPr>
      <w:rPr>
        <w:rFonts w:hint="default"/>
        <w:lang w:val="zh-CN" w:eastAsia="zh-CN" w:bidi="zh-CN"/>
      </w:rPr>
    </w:lvl>
    <w:lvl w:ilvl="4" w:tentative="0">
      <w:start w:val="0"/>
      <w:numFmt w:val="bullet"/>
      <w:lvlText w:val="•"/>
      <w:lvlJc w:val="left"/>
      <w:pPr>
        <w:ind w:left="4938" w:hanging="780"/>
      </w:pPr>
      <w:rPr>
        <w:rFonts w:hint="default"/>
        <w:lang w:val="zh-CN" w:eastAsia="zh-CN" w:bidi="zh-CN"/>
      </w:rPr>
    </w:lvl>
    <w:lvl w:ilvl="5" w:tentative="0">
      <w:start w:val="0"/>
      <w:numFmt w:val="bullet"/>
      <w:lvlText w:val="•"/>
      <w:lvlJc w:val="left"/>
      <w:pPr>
        <w:ind w:left="5843" w:hanging="780"/>
      </w:pPr>
      <w:rPr>
        <w:rFonts w:hint="default"/>
        <w:lang w:val="zh-CN" w:eastAsia="zh-CN" w:bidi="zh-CN"/>
      </w:rPr>
    </w:lvl>
    <w:lvl w:ilvl="6" w:tentative="0">
      <w:start w:val="0"/>
      <w:numFmt w:val="bullet"/>
      <w:lvlText w:val="•"/>
      <w:lvlJc w:val="left"/>
      <w:pPr>
        <w:ind w:left="6748" w:hanging="780"/>
      </w:pPr>
      <w:rPr>
        <w:rFonts w:hint="default"/>
        <w:lang w:val="zh-CN" w:eastAsia="zh-CN" w:bidi="zh-CN"/>
      </w:rPr>
    </w:lvl>
    <w:lvl w:ilvl="7" w:tentative="0">
      <w:start w:val="0"/>
      <w:numFmt w:val="bullet"/>
      <w:lvlText w:val="•"/>
      <w:lvlJc w:val="left"/>
      <w:pPr>
        <w:ind w:left="7652" w:hanging="780"/>
      </w:pPr>
      <w:rPr>
        <w:rFonts w:hint="default"/>
        <w:lang w:val="zh-CN" w:eastAsia="zh-CN" w:bidi="zh-CN"/>
      </w:rPr>
    </w:lvl>
    <w:lvl w:ilvl="8" w:tentative="0">
      <w:start w:val="0"/>
      <w:numFmt w:val="bullet"/>
      <w:lvlText w:val="•"/>
      <w:lvlJc w:val="left"/>
      <w:pPr>
        <w:ind w:left="8557" w:hanging="780"/>
      </w:pPr>
      <w:rPr>
        <w:rFonts w:hint="default"/>
        <w:lang w:val="zh-CN" w:eastAsia="zh-CN" w:bidi="zh-CN"/>
      </w:rPr>
    </w:lvl>
  </w:abstractNum>
  <w:abstractNum w:abstractNumId="22">
    <w:nsid w:val="AD37AD84"/>
    <w:multiLevelType w:val="multilevel"/>
    <w:tmpl w:val="AD37AD84"/>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23">
    <w:nsid w:val="B0082E4F"/>
    <w:multiLevelType w:val="multilevel"/>
    <w:tmpl w:val="B0082E4F"/>
    <w:lvl w:ilvl="0" w:tentative="0">
      <w:start w:val="1"/>
      <w:numFmt w:val="lowerLetter"/>
      <w:lvlText w:val="%1."/>
      <w:lvlJc w:val="left"/>
      <w:pPr>
        <w:ind w:left="78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738" w:hanging="241"/>
      </w:pPr>
      <w:rPr>
        <w:rFonts w:hint="default"/>
        <w:lang w:val="zh-CN" w:eastAsia="zh-CN" w:bidi="zh-CN"/>
      </w:rPr>
    </w:lvl>
    <w:lvl w:ilvl="2" w:tentative="0">
      <w:start w:val="0"/>
      <w:numFmt w:val="bullet"/>
      <w:lvlText w:val="•"/>
      <w:lvlJc w:val="left"/>
      <w:pPr>
        <w:ind w:left="2697" w:hanging="241"/>
      </w:pPr>
      <w:rPr>
        <w:rFonts w:hint="default"/>
        <w:lang w:val="zh-CN" w:eastAsia="zh-CN" w:bidi="zh-CN"/>
      </w:rPr>
    </w:lvl>
    <w:lvl w:ilvl="3" w:tentative="0">
      <w:start w:val="0"/>
      <w:numFmt w:val="bullet"/>
      <w:lvlText w:val="•"/>
      <w:lvlJc w:val="left"/>
      <w:pPr>
        <w:ind w:left="3656" w:hanging="241"/>
      </w:pPr>
      <w:rPr>
        <w:rFonts w:hint="default"/>
        <w:lang w:val="zh-CN" w:eastAsia="zh-CN" w:bidi="zh-CN"/>
      </w:rPr>
    </w:lvl>
    <w:lvl w:ilvl="4" w:tentative="0">
      <w:start w:val="0"/>
      <w:numFmt w:val="bullet"/>
      <w:lvlText w:val="•"/>
      <w:lvlJc w:val="left"/>
      <w:pPr>
        <w:ind w:left="4614" w:hanging="241"/>
      </w:pPr>
      <w:rPr>
        <w:rFonts w:hint="default"/>
        <w:lang w:val="zh-CN" w:eastAsia="zh-CN" w:bidi="zh-CN"/>
      </w:rPr>
    </w:lvl>
    <w:lvl w:ilvl="5" w:tentative="0">
      <w:start w:val="0"/>
      <w:numFmt w:val="bullet"/>
      <w:lvlText w:val="•"/>
      <w:lvlJc w:val="left"/>
      <w:pPr>
        <w:ind w:left="5573" w:hanging="241"/>
      </w:pPr>
      <w:rPr>
        <w:rFonts w:hint="default"/>
        <w:lang w:val="zh-CN" w:eastAsia="zh-CN" w:bidi="zh-CN"/>
      </w:rPr>
    </w:lvl>
    <w:lvl w:ilvl="6" w:tentative="0">
      <w:start w:val="0"/>
      <w:numFmt w:val="bullet"/>
      <w:lvlText w:val="•"/>
      <w:lvlJc w:val="left"/>
      <w:pPr>
        <w:ind w:left="6532" w:hanging="241"/>
      </w:pPr>
      <w:rPr>
        <w:rFonts w:hint="default"/>
        <w:lang w:val="zh-CN" w:eastAsia="zh-CN" w:bidi="zh-CN"/>
      </w:rPr>
    </w:lvl>
    <w:lvl w:ilvl="7" w:tentative="0">
      <w:start w:val="0"/>
      <w:numFmt w:val="bullet"/>
      <w:lvlText w:val="•"/>
      <w:lvlJc w:val="left"/>
      <w:pPr>
        <w:ind w:left="7490" w:hanging="241"/>
      </w:pPr>
      <w:rPr>
        <w:rFonts w:hint="default"/>
        <w:lang w:val="zh-CN" w:eastAsia="zh-CN" w:bidi="zh-CN"/>
      </w:rPr>
    </w:lvl>
    <w:lvl w:ilvl="8" w:tentative="0">
      <w:start w:val="0"/>
      <w:numFmt w:val="bullet"/>
      <w:lvlText w:val="•"/>
      <w:lvlJc w:val="left"/>
      <w:pPr>
        <w:ind w:left="8449" w:hanging="241"/>
      </w:pPr>
      <w:rPr>
        <w:rFonts w:hint="default"/>
        <w:lang w:val="zh-CN" w:eastAsia="zh-CN" w:bidi="zh-CN"/>
      </w:rPr>
    </w:lvl>
  </w:abstractNum>
  <w:abstractNum w:abstractNumId="24">
    <w:nsid w:val="B08374AC"/>
    <w:multiLevelType w:val="multilevel"/>
    <w:tmpl w:val="B08374AC"/>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3" w:hanging="212"/>
      </w:pPr>
      <w:rPr>
        <w:rFonts w:hint="default"/>
        <w:lang w:val="zh-CN" w:eastAsia="zh-CN" w:bidi="zh-CN"/>
      </w:rPr>
    </w:lvl>
    <w:lvl w:ilvl="6" w:tentative="0">
      <w:start w:val="0"/>
      <w:numFmt w:val="bullet"/>
      <w:lvlText w:val="•"/>
      <w:lvlJc w:val="left"/>
      <w:pPr>
        <w:ind w:left="4284"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25">
    <w:nsid w:val="B15ABE86"/>
    <w:multiLevelType w:val="multilevel"/>
    <w:tmpl w:val="B15ABE86"/>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26">
    <w:nsid w:val="B1CC6FF1"/>
    <w:multiLevelType w:val="multilevel"/>
    <w:tmpl w:val="B1CC6FF1"/>
    <w:lvl w:ilvl="0" w:tentative="0">
      <w:start w:val="2"/>
      <w:numFmt w:val="decimal"/>
      <w:lvlText w:val="%1"/>
      <w:lvlJc w:val="left"/>
      <w:pPr>
        <w:ind w:left="2160" w:hanging="660"/>
        <w:jc w:val="left"/>
      </w:pPr>
      <w:rPr>
        <w:rFonts w:hint="default"/>
        <w:lang w:val="zh-CN" w:eastAsia="zh-CN" w:bidi="zh-CN"/>
      </w:rPr>
    </w:lvl>
    <w:lvl w:ilvl="1" w:tentative="0">
      <w:start w:val="2"/>
      <w:numFmt w:val="decimal"/>
      <w:lvlText w:val="%1.%2"/>
      <w:lvlJc w:val="left"/>
      <w:pPr>
        <w:ind w:left="2160" w:hanging="660"/>
        <w:jc w:val="left"/>
      </w:pPr>
      <w:rPr>
        <w:rFonts w:hint="default"/>
        <w:lang w:val="zh-CN" w:eastAsia="zh-CN" w:bidi="zh-CN"/>
      </w:rPr>
    </w:lvl>
    <w:lvl w:ilvl="2" w:tentative="0">
      <w:start w:val="1"/>
      <w:numFmt w:val="decimal"/>
      <w:lvlText w:val="%1.%2.%3"/>
      <w:lvlJc w:val="left"/>
      <w:pPr>
        <w:ind w:left="216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622" w:hanging="660"/>
      </w:pPr>
      <w:rPr>
        <w:rFonts w:hint="default"/>
        <w:lang w:val="zh-CN" w:eastAsia="zh-CN" w:bidi="zh-CN"/>
      </w:rPr>
    </w:lvl>
    <w:lvl w:ilvl="4" w:tentative="0">
      <w:start w:val="0"/>
      <w:numFmt w:val="bullet"/>
      <w:lvlText w:val="•"/>
      <w:lvlJc w:val="left"/>
      <w:pPr>
        <w:ind w:left="5442" w:hanging="660"/>
      </w:pPr>
      <w:rPr>
        <w:rFonts w:hint="default"/>
        <w:lang w:val="zh-CN" w:eastAsia="zh-CN" w:bidi="zh-CN"/>
      </w:rPr>
    </w:lvl>
    <w:lvl w:ilvl="5" w:tentative="0">
      <w:start w:val="0"/>
      <w:numFmt w:val="bullet"/>
      <w:lvlText w:val="•"/>
      <w:lvlJc w:val="left"/>
      <w:pPr>
        <w:ind w:left="6263" w:hanging="660"/>
      </w:pPr>
      <w:rPr>
        <w:rFonts w:hint="default"/>
        <w:lang w:val="zh-CN" w:eastAsia="zh-CN" w:bidi="zh-CN"/>
      </w:rPr>
    </w:lvl>
    <w:lvl w:ilvl="6" w:tentative="0">
      <w:start w:val="0"/>
      <w:numFmt w:val="bullet"/>
      <w:lvlText w:val="•"/>
      <w:lvlJc w:val="left"/>
      <w:pPr>
        <w:ind w:left="7084" w:hanging="660"/>
      </w:pPr>
      <w:rPr>
        <w:rFonts w:hint="default"/>
        <w:lang w:val="zh-CN" w:eastAsia="zh-CN" w:bidi="zh-CN"/>
      </w:rPr>
    </w:lvl>
    <w:lvl w:ilvl="7" w:tentative="0">
      <w:start w:val="0"/>
      <w:numFmt w:val="bullet"/>
      <w:lvlText w:val="•"/>
      <w:lvlJc w:val="left"/>
      <w:pPr>
        <w:ind w:left="7904" w:hanging="660"/>
      </w:pPr>
      <w:rPr>
        <w:rFonts w:hint="default"/>
        <w:lang w:val="zh-CN" w:eastAsia="zh-CN" w:bidi="zh-CN"/>
      </w:rPr>
    </w:lvl>
    <w:lvl w:ilvl="8" w:tentative="0">
      <w:start w:val="0"/>
      <w:numFmt w:val="bullet"/>
      <w:lvlText w:val="•"/>
      <w:lvlJc w:val="left"/>
      <w:pPr>
        <w:ind w:left="8725" w:hanging="660"/>
      </w:pPr>
      <w:rPr>
        <w:rFonts w:hint="default"/>
        <w:lang w:val="zh-CN" w:eastAsia="zh-CN" w:bidi="zh-CN"/>
      </w:rPr>
    </w:lvl>
  </w:abstractNum>
  <w:abstractNum w:abstractNumId="27">
    <w:nsid w:val="B4E02BC3"/>
    <w:multiLevelType w:val="multilevel"/>
    <w:tmpl w:val="B4E02BC3"/>
    <w:lvl w:ilvl="0" w:tentative="0">
      <w:start w:val="1"/>
      <w:numFmt w:val="lowerLetter"/>
      <w:lvlText w:val="%1."/>
      <w:lvlJc w:val="left"/>
      <w:pPr>
        <w:ind w:left="13"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730" w:hanging="212"/>
      </w:pPr>
      <w:rPr>
        <w:rFonts w:hint="default"/>
        <w:lang w:val="zh-CN" w:eastAsia="zh-CN" w:bidi="zh-CN"/>
      </w:rPr>
    </w:lvl>
    <w:lvl w:ilvl="2" w:tentative="0">
      <w:start w:val="0"/>
      <w:numFmt w:val="bullet"/>
      <w:lvlText w:val="•"/>
      <w:lvlJc w:val="left"/>
      <w:pPr>
        <w:ind w:left="1441" w:hanging="212"/>
      </w:pPr>
      <w:rPr>
        <w:rFonts w:hint="default"/>
        <w:lang w:val="zh-CN" w:eastAsia="zh-CN" w:bidi="zh-CN"/>
      </w:rPr>
    </w:lvl>
    <w:lvl w:ilvl="3" w:tentative="0">
      <w:start w:val="0"/>
      <w:numFmt w:val="bullet"/>
      <w:lvlText w:val="•"/>
      <w:lvlJc w:val="left"/>
      <w:pPr>
        <w:ind w:left="2152" w:hanging="212"/>
      </w:pPr>
      <w:rPr>
        <w:rFonts w:hint="default"/>
        <w:lang w:val="zh-CN" w:eastAsia="zh-CN" w:bidi="zh-CN"/>
      </w:rPr>
    </w:lvl>
    <w:lvl w:ilvl="4" w:tentative="0">
      <w:start w:val="0"/>
      <w:numFmt w:val="bullet"/>
      <w:lvlText w:val="•"/>
      <w:lvlJc w:val="left"/>
      <w:pPr>
        <w:ind w:left="2863" w:hanging="212"/>
      </w:pPr>
      <w:rPr>
        <w:rFonts w:hint="default"/>
        <w:lang w:val="zh-CN" w:eastAsia="zh-CN" w:bidi="zh-CN"/>
      </w:rPr>
    </w:lvl>
    <w:lvl w:ilvl="5" w:tentative="0">
      <w:start w:val="0"/>
      <w:numFmt w:val="bullet"/>
      <w:lvlText w:val="•"/>
      <w:lvlJc w:val="left"/>
      <w:pPr>
        <w:ind w:left="3574" w:hanging="212"/>
      </w:pPr>
      <w:rPr>
        <w:rFonts w:hint="default"/>
        <w:lang w:val="zh-CN" w:eastAsia="zh-CN" w:bidi="zh-CN"/>
      </w:rPr>
    </w:lvl>
    <w:lvl w:ilvl="6" w:tentative="0">
      <w:start w:val="0"/>
      <w:numFmt w:val="bullet"/>
      <w:lvlText w:val="•"/>
      <w:lvlJc w:val="left"/>
      <w:pPr>
        <w:ind w:left="4285" w:hanging="212"/>
      </w:pPr>
      <w:rPr>
        <w:rFonts w:hint="default"/>
        <w:lang w:val="zh-CN" w:eastAsia="zh-CN" w:bidi="zh-CN"/>
      </w:rPr>
    </w:lvl>
    <w:lvl w:ilvl="7" w:tentative="0">
      <w:start w:val="0"/>
      <w:numFmt w:val="bullet"/>
      <w:lvlText w:val="•"/>
      <w:lvlJc w:val="left"/>
      <w:pPr>
        <w:ind w:left="4995" w:hanging="212"/>
      </w:pPr>
      <w:rPr>
        <w:rFonts w:hint="default"/>
        <w:lang w:val="zh-CN" w:eastAsia="zh-CN" w:bidi="zh-CN"/>
      </w:rPr>
    </w:lvl>
    <w:lvl w:ilvl="8" w:tentative="0">
      <w:start w:val="0"/>
      <w:numFmt w:val="bullet"/>
      <w:lvlText w:val="•"/>
      <w:lvlJc w:val="left"/>
      <w:pPr>
        <w:ind w:left="5706" w:hanging="212"/>
      </w:pPr>
      <w:rPr>
        <w:rFonts w:hint="default"/>
        <w:lang w:val="zh-CN" w:eastAsia="zh-CN" w:bidi="zh-CN"/>
      </w:rPr>
    </w:lvl>
  </w:abstractNum>
  <w:abstractNum w:abstractNumId="28">
    <w:nsid w:val="B5601969"/>
    <w:multiLevelType w:val="multilevel"/>
    <w:tmpl w:val="B5601969"/>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29">
    <w:nsid w:val="B5CF74F5"/>
    <w:multiLevelType w:val="multilevel"/>
    <w:tmpl w:val="B5CF74F5"/>
    <w:lvl w:ilvl="0" w:tentative="0">
      <w:start w:val="4"/>
      <w:numFmt w:val="decimal"/>
      <w:lvlText w:val="%1"/>
      <w:lvlJc w:val="left"/>
      <w:pPr>
        <w:ind w:left="960" w:hanging="420"/>
        <w:jc w:val="left"/>
      </w:pPr>
      <w:rPr>
        <w:rFonts w:hint="default"/>
        <w:lang w:val="zh-CN" w:eastAsia="zh-CN" w:bidi="zh-CN"/>
      </w:rPr>
    </w:lvl>
    <w:lvl w:ilvl="1" w:tentative="0">
      <w:start w:val="9"/>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30">
    <w:nsid w:val="B99465BD"/>
    <w:multiLevelType w:val="multilevel"/>
    <w:tmpl w:val="B99465BD"/>
    <w:lvl w:ilvl="0" w:tentative="0">
      <w:start w:val="5"/>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31">
    <w:nsid w:val="BA550FDB"/>
    <w:multiLevelType w:val="multilevel"/>
    <w:tmpl w:val="BA550FDB"/>
    <w:lvl w:ilvl="0" w:tentative="0">
      <w:start w:val="13"/>
      <w:numFmt w:val="decimal"/>
      <w:lvlText w:val="%1"/>
      <w:lvlJc w:val="left"/>
      <w:pPr>
        <w:ind w:left="1080" w:hanging="540"/>
        <w:jc w:val="left"/>
      </w:pPr>
      <w:rPr>
        <w:rFonts w:hint="default"/>
        <w:lang w:val="zh-CN" w:eastAsia="zh-CN" w:bidi="zh-CN"/>
      </w:rPr>
    </w:lvl>
    <w:lvl w:ilvl="1" w:tentative="0">
      <w:start w:val="4"/>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32">
    <w:nsid w:val="BC837A95"/>
    <w:multiLevelType w:val="multilevel"/>
    <w:tmpl w:val="BC837A95"/>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33">
    <w:nsid w:val="C0283A65"/>
    <w:multiLevelType w:val="multilevel"/>
    <w:tmpl w:val="C0283A65"/>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abstractNum w:abstractNumId="34">
    <w:nsid w:val="C4EA4DBF"/>
    <w:multiLevelType w:val="multilevel"/>
    <w:tmpl w:val="C4EA4DBF"/>
    <w:lvl w:ilvl="0" w:tentative="0">
      <w:start w:val="1"/>
      <w:numFmt w:val="decimal"/>
      <w:lvlText w:val="（%1）"/>
      <w:lvlJc w:val="left"/>
      <w:pPr>
        <w:ind w:left="540" w:hanging="601"/>
        <w:jc w:val="left"/>
      </w:pPr>
      <w:rPr>
        <w:rFonts w:hint="default" w:ascii="宋体" w:hAnsi="宋体" w:eastAsia="宋体" w:cs="宋体"/>
        <w:spacing w:val="-1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35">
    <w:nsid w:val="C560BE57"/>
    <w:multiLevelType w:val="multilevel"/>
    <w:tmpl w:val="C560BE57"/>
    <w:lvl w:ilvl="0" w:tentative="0">
      <w:start w:val="7"/>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36">
    <w:nsid w:val="C9412743"/>
    <w:multiLevelType w:val="multilevel"/>
    <w:tmpl w:val="C9412743"/>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37">
    <w:nsid w:val="C9C05784"/>
    <w:multiLevelType w:val="multilevel"/>
    <w:tmpl w:val="C9C05784"/>
    <w:lvl w:ilvl="0" w:tentative="0">
      <w:start w:val="23"/>
      <w:numFmt w:val="decimal"/>
      <w:lvlText w:val="%1."/>
      <w:lvlJc w:val="left"/>
      <w:pPr>
        <w:ind w:left="861" w:hanging="321"/>
        <w:jc w:val="left"/>
      </w:pPr>
      <w:rPr>
        <w:rFonts w:hint="default" w:ascii="宋体" w:hAnsi="宋体" w:eastAsia="宋体" w:cs="宋体"/>
        <w:b/>
        <w:bCs/>
        <w:spacing w:val="-10"/>
        <w:w w:val="104"/>
        <w:sz w:val="19"/>
        <w:szCs w:val="19"/>
        <w:lang w:val="zh-CN" w:eastAsia="zh-CN" w:bidi="zh-CN"/>
      </w:rPr>
    </w:lvl>
    <w:lvl w:ilvl="1" w:tentative="0">
      <w:start w:val="1"/>
      <w:numFmt w:val="decimal"/>
      <w:lvlText w:val="%2."/>
      <w:lvlJc w:val="left"/>
      <w:pPr>
        <w:ind w:left="540" w:hanging="316"/>
        <w:jc w:val="left"/>
      </w:pPr>
      <w:rPr>
        <w:rFonts w:hint="default" w:ascii="宋体" w:hAnsi="宋体" w:eastAsia="宋体" w:cs="宋体"/>
        <w:spacing w:val="-32"/>
        <w:w w:val="99"/>
        <w:sz w:val="19"/>
        <w:szCs w:val="19"/>
        <w:lang w:val="zh-CN" w:eastAsia="zh-CN" w:bidi="zh-CN"/>
      </w:rPr>
    </w:lvl>
    <w:lvl w:ilvl="2" w:tentative="0">
      <w:start w:val="0"/>
      <w:numFmt w:val="bullet"/>
      <w:lvlText w:val="•"/>
      <w:lvlJc w:val="left"/>
      <w:pPr>
        <w:ind w:left="1916" w:hanging="316"/>
      </w:pPr>
      <w:rPr>
        <w:rFonts w:hint="default"/>
        <w:lang w:val="zh-CN" w:eastAsia="zh-CN" w:bidi="zh-CN"/>
      </w:rPr>
    </w:lvl>
    <w:lvl w:ilvl="3" w:tentative="0">
      <w:start w:val="0"/>
      <w:numFmt w:val="bullet"/>
      <w:lvlText w:val="•"/>
      <w:lvlJc w:val="left"/>
      <w:pPr>
        <w:ind w:left="2972" w:hanging="316"/>
      </w:pPr>
      <w:rPr>
        <w:rFonts w:hint="default"/>
        <w:lang w:val="zh-CN" w:eastAsia="zh-CN" w:bidi="zh-CN"/>
      </w:rPr>
    </w:lvl>
    <w:lvl w:ilvl="4" w:tentative="0">
      <w:start w:val="0"/>
      <w:numFmt w:val="bullet"/>
      <w:lvlText w:val="•"/>
      <w:lvlJc w:val="left"/>
      <w:pPr>
        <w:ind w:left="4029" w:hanging="316"/>
      </w:pPr>
      <w:rPr>
        <w:rFonts w:hint="default"/>
        <w:lang w:val="zh-CN" w:eastAsia="zh-CN" w:bidi="zh-CN"/>
      </w:rPr>
    </w:lvl>
    <w:lvl w:ilvl="5" w:tentative="0">
      <w:start w:val="0"/>
      <w:numFmt w:val="bullet"/>
      <w:lvlText w:val="•"/>
      <w:lvlJc w:val="left"/>
      <w:pPr>
        <w:ind w:left="5085" w:hanging="316"/>
      </w:pPr>
      <w:rPr>
        <w:rFonts w:hint="default"/>
        <w:lang w:val="zh-CN" w:eastAsia="zh-CN" w:bidi="zh-CN"/>
      </w:rPr>
    </w:lvl>
    <w:lvl w:ilvl="6" w:tentative="0">
      <w:start w:val="0"/>
      <w:numFmt w:val="bullet"/>
      <w:lvlText w:val="•"/>
      <w:lvlJc w:val="left"/>
      <w:pPr>
        <w:ind w:left="6141" w:hanging="316"/>
      </w:pPr>
      <w:rPr>
        <w:rFonts w:hint="default"/>
        <w:lang w:val="zh-CN" w:eastAsia="zh-CN" w:bidi="zh-CN"/>
      </w:rPr>
    </w:lvl>
    <w:lvl w:ilvl="7" w:tentative="0">
      <w:start w:val="0"/>
      <w:numFmt w:val="bullet"/>
      <w:lvlText w:val="•"/>
      <w:lvlJc w:val="left"/>
      <w:pPr>
        <w:ind w:left="7198" w:hanging="316"/>
      </w:pPr>
      <w:rPr>
        <w:rFonts w:hint="default"/>
        <w:lang w:val="zh-CN" w:eastAsia="zh-CN" w:bidi="zh-CN"/>
      </w:rPr>
    </w:lvl>
    <w:lvl w:ilvl="8" w:tentative="0">
      <w:start w:val="0"/>
      <w:numFmt w:val="bullet"/>
      <w:lvlText w:val="•"/>
      <w:lvlJc w:val="left"/>
      <w:pPr>
        <w:ind w:left="8254" w:hanging="316"/>
      </w:pPr>
      <w:rPr>
        <w:rFonts w:hint="default"/>
        <w:lang w:val="zh-CN" w:eastAsia="zh-CN" w:bidi="zh-CN"/>
      </w:rPr>
    </w:lvl>
  </w:abstractNum>
  <w:abstractNum w:abstractNumId="38">
    <w:nsid w:val="CB0CECA5"/>
    <w:multiLevelType w:val="multilevel"/>
    <w:tmpl w:val="CB0CECA5"/>
    <w:lvl w:ilvl="0" w:tentative="0">
      <w:start w:val="1"/>
      <w:numFmt w:val="decimal"/>
      <w:lvlText w:val="（%1）"/>
      <w:lvlJc w:val="left"/>
      <w:pPr>
        <w:ind w:left="540" w:hanging="605"/>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522" w:hanging="605"/>
      </w:pPr>
      <w:rPr>
        <w:rFonts w:hint="default"/>
        <w:lang w:val="zh-CN" w:eastAsia="zh-CN" w:bidi="zh-CN"/>
      </w:rPr>
    </w:lvl>
    <w:lvl w:ilvl="2" w:tentative="0">
      <w:start w:val="0"/>
      <w:numFmt w:val="bullet"/>
      <w:lvlText w:val="•"/>
      <w:lvlJc w:val="left"/>
      <w:pPr>
        <w:ind w:left="2505" w:hanging="605"/>
      </w:pPr>
      <w:rPr>
        <w:rFonts w:hint="default"/>
        <w:lang w:val="zh-CN" w:eastAsia="zh-CN" w:bidi="zh-CN"/>
      </w:rPr>
    </w:lvl>
    <w:lvl w:ilvl="3" w:tentative="0">
      <w:start w:val="0"/>
      <w:numFmt w:val="bullet"/>
      <w:lvlText w:val="•"/>
      <w:lvlJc w:val="left"/>
      <w:pPr>
        <w:ind w:left="3488" w:hanging="605"/>
      </w:pPr>
      <w:rPr>
        <w:rFonts w:hint="default"/>
        <w:lang w:val="zh-CN" w:eastAsia="zh-CN" w:bidi="zh-CN"/>
      </w:rPr>
    </w:lvl>
    <w:lvl w:ilvl="4" w:tentative="0">
      <w:start w:val="0"/>
      <w:numFmt w:val="bullet"/>
      <w:lvlText w:val="•"/>
      <w:lvlJc w:val="left"/>
      <w:pPr>
        <w:ind w:left="4470" w:hanging="605"/>
      </w:pPr>
      <w:rPr>
        <w:rFonts w:hint="default"/>
        <w:lang w:val="zh-CN" w:eastAsia="zh-CN" w:bidi="zh-CN"/>
      </w:rPr>
    </w:lvl>
    <w:lvl w:ilvl="5" w:tentative="0">
      <w:start w:val="0"/>
      <w:numFmt w:val="bullet"/>
      <w:lvlText w:val="•"/>
      <w:lvlJc w:val="left"/>
      <w:pPr>
        <w:ind w:left="5453" w:hanging="605"/>
      </w:pPr>
      <w:rPr>
        <w:rFonts w:hint="default"/>
        <w:lang w:val="zh-CN" w:eastAsia="zh-CN" w:bidi="zh-CN"/>
      </w:rPr>
    </w:lvl>
    <w:lvl w:ilvl="6" w:tentative="0">
      <w:start w:val="0"/>
      <w:numFmt w:val="bullet"/>
      <w:lvlText w:val="•"/>
      <w:lvlJc w:val="left"/>
      <w:pPr>
        <w:ind w:left="6436" w:hanging="605"/>
      </w:pPr>
      <w:rPr>
        <w:rFonts w:hint="default"/>
        <w:lang w:val="zh-CN" w:eastAsia="zh-CN" w:bidi="zh-CN"/>
      </w:rPr>
    </w:lvl>
    <w:lvl w:ilvl="7" w:tentative="0">
      <w:start w:val="0"/>
      <w:numFmt w:val="bullet"/>
      <w:lvlText w:val="•"/>
      <w:lvlJc w:val="left"/>
      <w:pPr>
        <w:ind w:left="7418" w:hanging="605"/>
      </w:pPr>
      <w:rPr>
        <w:rFonts w:hint="default"/>
        <w:lang w:val="zh-CN" w:eastAsia="zh-CN" w:bidi="zh-CN"/>
      </w:rPr>
    </w:lvl>
    <w:lvl w:ilvl="8" w:tentative="0">
      <w:start w:val="0"/>
      <w:numFmt w:val="bullet"/>
      <w:lvlText w:val="•"/>
      <w:lvlJc w:val="left"/>
      <w:pPr>
        <w:ind w:left="8401" w:hanging="605"/>
      </w:pPr>
      <w:rPr>
        <w:rFonts w:hint="default"/>
        <w:lang w:val="zh-CN" w:eastAsia="zh-CN" w:bidi="zh-CN"/>
      </w:rPr>
    </w:lvl>
  </w:abstractNum>
  <w:abstractNum w:abstractNumId="39">
    <w:nsid w:val="CB94649F"/>
    <w:multiLevelType w:val="multilevel"/>
    <w:tmpl w:val="CB94649F"/>
    <w:lvl w:ilvl="0" w:tentative="0">
      <w:start w:val="1"/>
      <w:numFmt w:val="decimal"/>
      <w:lvlText w:val="（%1）"/>
      <w:lvlJc w:val="left"/>
      <w:pPr>
        <w:ind w:left="540" w:hanging="615"/>
        <w:jc w:val="left"/>
      </w:pPr>
      <w:rPr>
        <w:rFonts w:hint="default" w:ascii="宋体" w:hAnsi="宋体" w:eastAsia="宋体" w:cs="宋体"/>
        <w:spacing w:val="4"/>
        <w:w w:val="100"/>
        <w:sz w:val="22"/>
        <w:szCs w:val="22"/>
        <w:lang w:val="zh-CN" w:eastAsia="zh-CN" w:bidi="zh-CN"/>
      </w:rPr>
    </w:lvl>
    <w:lvl w:ilvl="1" w:tentative="0">
      <w:start w:val="0"/>
      <w:numFmt w:val="bullet"/>
      <w:lvlText w:val="•"/>
      <w:lvlJc w:val="left"/>
      <w:pPr>
        <w:ind w:left="1522" w:hanging="615"/>
      </w:pPr>
      <w:rPr>
        <w:rFonts w:hint="default"/>
        <w:lang w:val="zh-CN" w:eastAsia="zh-CN" w:bidi="zh-CN"/>
      </w:rPr>
    </w:lvl>
    <w:lvl w:ilvl="2" w:tentative="0">
      <w:start w:val="0"/>
      <w:numFmt w:val="bullet"/>
      <w:lvlText w:val="•"/>
      <w:lvlJc w:val="left"/>
      <w:pPr>
        <w:ind w:left="2505" w:hanging="615"/>
      </w:pPr>
      <w:rPr>
        <w:rFonts w:hint="default"/>
        <w:lang w:val="zh-CN" w:eastAsia="zh-CN" w:bidi="zh-CN"/>
      </w:rPr>
    </w:lvl>
    <w:lvl w:ilvl="3" w:tentative="0">
      <w:start w:val="0"/>
      <w:numFmt w:val="bullet"/>
      <w:lvlText w:val="•"/>
      <w:lvlJc w:val="left"/>
      <w:pPr>
        <w:ind w:left="3488" w:hanging="615"/>
      </w:pPr>
      <w:rPr>
        <w:rFonts w:hint="default"/>
        <w:lang w:val="zh-CN" w:eastAsia="zh-CN" w:bidi="zh-CN"/>
      </w:rPr>
    </w:lvl>
    <w:lvl w:ilvl="4" w:tentative="0">
      <w:start w:val="0"/>
      <w:numFmt w:val="bullet"/>
      <w:lvlText w:val="•"/>
      <w:lvlJc w:val="left"/>
      <w:pPr>
        <w:ind w:left="4470" w:hanging="615"/>
      </w:pPr>
      <w:rPr>
        <w:rFonts w:hint="default"/>
        <w:lang w:val="zh-CN" w:eastAsia="zh-CN" w:bidi="zh-CN"/>
      </w:rPr>
    </w:lvl>
    <w:lvl w:ilvl="5" w:tentative="0">
      <w:start w:val="0"/>
      <w:numFmt w:val="bullet"/>
      <w:lvlText w:val="•"/>
      <w:lvlJc w:val="left"/>
      <w:pPr>
        <w:ind w:left="5453" w:hanging="615"/>
      </w:pPr>
      <w:rPr>
        <w:rFonts w:hint="default"/>
        <w:lang w:val="zh-CN" w:eastAsia="zh-CN" w:bidi="zh-CN"/>
      </w:rPr>
    </w:lvl>
    <w:lvl w:ilvl="6" w:tentative="0">
      <w:start w:val="0"/>
      <w:numFmt w:val="bullet"/>
      <w:lvlText w:val="•"/>
      <w:lvlJc w:val="left"/>
      <w:pPr>
        <w:ind w:left="6436" w:hanging="615"/>
      </w:pPr>
      <w:rPr>
        <w:rFonts w:hint="default"/>
        <w:lang w:val="zh-CN" w:eastAsia="zh-CN" w:bidi="zh-CN"/>
      </w:rPr>
    </w:lvl>
    <w:lvl w:ilvl="7" w:tentative="0">
      <w:start w:val="0"/>
      <w:numFmt w:val="bullet"/>
      <w:lvlText w:val="•"/>
      <w:lvlJc w:val="left"/>
      <w:pPr>
        <w:ind w:left="7418" w:hanging="615"/>
      </w:pPr>
      <w:rPr>
        <w:rFonts w:hint="default"/>
        <w:lang w:val="zh-CN" w:eastAsia="zh-CN" w:bidi="zh-CN"/>
      </w:rPr>
    </w:lvl>
    <w:lvl w:ilvl="8" w:tentative="0">
      <w:start w:val="0"/>
      <w:numFmt w:val="bullet"/>
      <w:lvlText w:val="•"/>
      <w:lvlJc w:val="left"/>
      <w:pPr>
        <w:ind w:left="8401" w:hanging="615"/>
      </w:pPr>
      <w:rPr>
        <w:rFonts w:hint="default"/>
        <w:lang w:val="zh-CN" w:eastAsia="zh-CN" w:bidi="zh-CN"/>
      </w:rPr>
    </w:lvl>
  </w:abstractNum>
  <w:abstractNum w:abstractNumId="40">
    <w:nsid w:val="D2B2DAFD"/>
    <w:multiLevelType w:val="multilevel"/>
    <w:tmpl w:val="D2B2DAFD"/>
    <w:lvl w:ilvl="0" w:tentative="0">
      <w:start w:val="2"/>
      <w:numFmt w:val="decimal"/>
      <w:lvlText w:val="%1."/>
      <w:lvlJc w:val="left"/>
      <w:pPr>
        <w:ind w:left="951" w:hanging="212"/>
        <w:jc w:val="left"/>
      </w:pPr>
      <w:rPr>
        <w:rFonts w:hint="default" w:ascii="宋体" w:hAnsi="宋体" w:eastAsia="宋体" w:cs="宋体"/>
        <w:spacing w:val="-2"/>
        <w:w w:val="99"/>
        <w:sz w:val="19"/>
        <w:szCs w:val="19"/>
        <w:lang w:val="zh-CN" w:eastAsia="zh-CN" w:bidi="zh-CN"/>
      </w:rPr>
    </w:lvl>
    <w:lvl w:ilvl="1" w:tentative="0">
      <w:start w:val="1"/>
      <w:numFmt w:val="decimal"/>
      <w:lvlText w:val="%2."/>
      <w:lvlJc w:val="left"/>
      <w:pPr>
        <w:ind w:left="520" w:hanging="24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1987" w:hanging="241"/>
      </w:pPr>
      <w:rPr>
        <w:rFonts w:hint="default"/>
        <w:lang w:val="zh-CN" w:eastAsia="zh-CN" w:bidi="zh-CN"/>
      </w:rPr>
    </w:lvl>
    <w:lvl w:ilvl="3" w:tentative="0">
      <w:start w:val="0"/>
      <w:numFmt w:val="bullet"/>
      <w:lvlText w:val="•"/>
      <w:lvlJc w:val="left"/>
      <w:pPr>
        <w:ind w:left="3014" w:hanging="241"/>
      </w:pPr>
      <w:rPr>
        <w:rFonts w:hint="default"/>
        <w:lang w:val="zh-CN" w:eastAsia="zh-CN" w:bidi="zh-CN"/>
      </w:rPr>
    </w:lvl>
    <w:lvl w:ilvl="4" w:tentative="0">
      <w:start w:val="0"/>
      <w:numFmt w:val="bullet"/>
      <w:lvlText w:val="•"/>
      <w:lvlJc w:val="left"/>
      <w:pPr>
        <w:ind w:left="4042" w:hanging="241"/>
      </w:pPr>
      <w:rPr>
        <w:rFonts w:hint="default"/>
        <w:lang w:val="zh-CN" w:eastAsia="zh-CN" w:bidi="zh-CN"/>
      </w:rPr>
    </w:lvl>
    <w:lvl w:ilvl="5" w:tentative="0">
      <w:start w:val="0"/>
      <w:numFmt w:val="bullet"/>
      <w:lvlText w:val="•"/>
      <w:lvlJc w:val="left"/>
      <w:pPr>
        <w:ind w:left="5069" w:hanging="241"/>
      </w:pPr>
      <w:rPr>
        <w:rFonts w:hint="default"/>
        <w:lang w:val="zh-CN" w:eastAsia="zh-CN" w:bidi="zh-CN"/>
      </w:rPr>
    </w:lvl>
    <w:lvl w:ilvl="6" w:tentative="0">
      <w:start w:val="0"/>
      <w:numFmt w:val="bullet"/>
      <w:lvlText w:val="•"/>
      <w:lvlJc w:val="left"/>
      <w:pPr>
        <w:ind w:left="6097" w:hanging="241"/>
      </w:pPr>
      <w:rPr>
        <w:rFonts w:hint="default"/>
        <w:lang w:val="zh-CN" w:eastAsia="zh-CN" w:bidi="zh-CN"/>
      </w:rPr>
    </w:lvl>
    <w:lvl w:ilvl="7" w:tentative="0">
      <w:start w:val="0"/>
      <w:numFmt w:val="bullet"/>
      <w:lvlText w:val="•"/>
      <w:lvlJc w:val="left"/>
      <w:pPr>
        <w:ind w:left="7124" w:hanging="241"/>
      </w:pPr>
      <w:rPr>
        <w:rFonts w:hint="default"/>
        <w:lang w:val="zh-CN" w:eastAsia="zh-CN" w:bidi="zh-CN"/>
      </w:rPr>
    </w:lvl>
    <w:lvl w:ilvl="8" w:tentative="0">
      <w:start w:val="0"/>
      <w:numFmt w:val="bullet"/>
      <w:lvlText w:val="•"/>
      <w:lvlJc w:val="left"/>
      <w:pPr>
        <w:ind w:left="8152" w:hanging="241"/>
      </w:pPr>
      <w:rPr>
        <w:rFonts w:hint="default"/>
        <w:lang w:val="zh-CN" w:eastAsia="zh-CN" w:bidi="zh-CN"/>
      </w:rPr>
    </w:lvl>
  </w:abstractNum>
  <w:abstractNum w:abstractNumId="41">
    <w:nsid w:val="D42187FE"/>
    <w:multiLevelType w:val="multilevel"/>
    <w:tmpl w:val="D42187FE"/>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42">
    <w:nsid w:val="D5F12F34"/>
    <w:multiLevelType w:val="multilevel"/>
    <w:tmpl w:val="D5F12F34"/>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43">
    <w:nsid w:val="D7936317"/>
    <w:multiLevelType w:val="multilevel"/>
    <w:tmpl w:val="D7936317"/>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44">
    <w:nsid w:val="DAE62134"/>
    <w:multiLevelType w:val="multilevel"/>
    <w:tmpl w:val="DAE62134"/>
    <w:lvl w:ilvl="0" w:tentative="0">
      <w:start w:val="1"/>
      <w:numFmt w:val="decimal"/>
      <w:lvlText w:val="（%1）"/>
      <w:lvlJc w:val="left"/>
      <w:pPr>
        <w:ind w:left="537" w:hanging="525"/>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198" w:hanging="525"/>
      </w:pPr>
      <w:rPr>
        <w:rFonts w:hint="default"/>
        <w:lang w:val="zh-CN" w:eastAsia="zh-CN" w:bidi="zh-CN"/>
      </w:rPr>
    </w:lvl>
    <w:lvl w:ilvl="2" w:tentative="0">
      <w:start w:val="0"/>
      <w:numFmt w:val="bullet"/>
      <w:lvlText w:val="•"/>
      <w:lvlJc w:val="left"/>
      <w:pPr>
        <w:ind w:left="1857" w:hanging="525"/>
      </w:pPr>
      <w:rPr>
        <w:rFonts w:hint="default"/>
        <w:lang w:val="zh-CN" w:eastAsia="zh-CN" w:bidi="zh-CN"/>
      </w:rPr>
    </w:lvl>
    <w:lvl w:ilvl="3" w:tentative="0">
      <w:start w:val="0"/>
      <w:numFmt w:val="bullet"/>
      <w:lvlText w:val="•"/>
      <w:lvlJc w:val="left"/>
      <w:pPr>
        <w:ind w:left="2516" w:hanging="525"/>
      </w:pPr>
      <w:rPr>
        <w:rFonts w:hint="default"/>
        <w:lang w:val="zh-CN" w:eastAsia="zh-CN" w:bidi="zh-CN"/>
      </w:rPr>
    </w:lvl>
    <w:lvl w:ilvl="4" w:tentative="0">
      <w:start w:val="0"/>
      <w:numFmt w:val="bullet"/>
      <w:lvlText w:val="•"/>
      <w:lvlJc w:val="left"/>
      <w:pPr>
        <w:ind w:left="3175" w:hanging="525"/>
      </w:pPr>
      <w:rPr>
        <w:rFonts w:hint="default"/>
        <w:lang w:val="zh-CN" w:eastAsia="zh-CN" w:bidi="zh-CN"/>
      </w:rPr>
    </w:lvl>
    <w:lvl w:ilvl="5" w:tentative="0">
      <w:start w:val="0"/>
      <w:numFmt w:val="bullet"/>
      <w:lvlText w:val="•"/>
      <w:lvlJc w:val="left"/>
      <w:pPr>
        <w:ind w:left="3833" w:hanging="525"/>
      </w:pPr>
      <w:rPr>
        <w:rFonts w:hint="default"/>
        <w:lang w:val="zh-CN" w:eastAsia="zh-CN" w:bidi="zh-CN"/>
      </w:rPr>
    </w:lvl>
    <w:lvl w:ilvl="6" w:tentative="0">
      <w:start w:val="0"/>
      <w:numFmt w:val="bullet"/>
      <w:lvlText w:val="•"/>
      <w:lvlJc w:val="left"/>
      <w:pPr>
        <w:ind w:left="4492" w:hanging="525"/>
      </w:pPr>
      <w:rPr>
        <w:rFonts w:hint="default"/>
        <w:lang w:val="zh-CN" w:eastAsia="zh-CN" w:bidi="zh-CN"/>
      </w:rPr>
    </w:lvl>
    <w:lvl w:ilvl="7" w:tentative="0">
      <w:start w:val="0"/>
      <w:numFmt w:val="bullet"/>
      <w:lvlText w:val="•"/>
      <w:lvlJc w:val="left"/>
      <w:pPr>
        <w:ind w:left="5151" w:hanging="525"/>
      </w:pPr>
      <w:rPr>
        <w:rFonts w:hint="default"/>
        <w:lang w:val="zh-CN" w:eastAsia="zh-CN" w:bidi="zh-CN"/>
      </w:rPr>
    </w:lvl>
    <w:lvl w:ilvl="8" w:tentative="0">
      <w:start w:val="0"/>
      <w:numFmt w:val="bullet"/>
      <w:lvlText w:val="•"/>
      <w:lvlJc w:val="left"/>
      <w:pPr>
        <w:ind w:left="5810" w:hanging="525"/>
      </w:pPr>
      <w:rPr>
        <w:rFonts w:hint="default"/>
        <w:lang w:val="zh-CN" w:eastAsia="zh-CN" w:bidi="zh-CN"/>
      </w:rPr>
    </w:lvl>
  </w:abstractNum>
  <w:abstractNum w:abstractNumId="45">
    <w:nsid w:val="DAF63FD3"/>
    <w:multiLevelType w:val="multilevel"/>
    <w:tmpl w:val="DAF63FD3"/>
    <w:lvl w:ilvl="0" w:tentative="0">
      <w:start w:val="4"/>
      <w:numFmt w:val="decimal"/>
      <w:lvlText w:val="%1."/>
      <w:lvlJc w:val="left"/>
      <w:pPr>
        <w:ind w:left="1275" w:hanging="315"/>
        <w:jc w:val="left"/>
      </w:pPr>
      <w:rPr>
        <w:rFonts w:hint="default" w:ascii="宋体" w:hAnsi="宋体" w:eastAsia="宋体" w:cs="宋体"/>
        <w:spacing w:val="0"/>
        <w:w w:val="99"/>
        <w:sz w:val="21"/>
        <w:szCs w:val="21"/>
        <w:lang w:val="zh-CN" w:eastAsia="zh-CN" w:bidi="zh-CN"/>
      </w:rPr>
    </w:lvl>
    <w:lvl w:ilvl="1" w:tentative="0">
      <w:start w:val="0"/>
      <w:numFmt w:val="bullet"/>
      <w:lvlText w:val="•"/>
      <w:lvlJc w:val="left"/>
      <w:pPr>
        <w:ind w:left="2188" w:hanging="315"/>
      </w:pPr>
      <w:rPr>
        <w:rFonts w:hint="default"/>
        <w:lang w:val="zh-CN" w:eastAsia="zh-CN" w:bidi="zh-CN"/>
      </w:rPr>
    </w:lvl>
    <w:lvl w:ilvl="2" w:tentative="0">
      <w:start w:val="0"/>
      <w:numFmt w:val="bullet"/>
      <w:lvlText w:val="•"/>
      <w:lvlJc w:val="left"/>
      <w:pPr>
        <w:ind w:left="3097" w:hanging="315"/>
      </w:pPr>
      <w:rPr>
        <w:rFonts w:hint="default"/>
        <w:lang w:val="zh-CN" w:eastAsia="zh-CN" w:bidi="zh-CN"/>
      </w:rPr>
    </w:lvl>
    <w:lvl w:ilvl="3" w:tentative="0">
      <w:start w:val="0"/>
      <w:numFmt w:val="bullet"/>
      <w:lvlText w:val="•"/>
      <w:lvlJc w:val="left"/>
      <w:pPr>
        <w:ind w:left="4006" w:hanging="315"/>
      </w:pPr>
      <w:rPr>
        <w:rFonts w:hint="default"/>
        <w:lang w:val="zh-CN" w:eastAsia="zh-CN" w:bidi="zh-CN"/>
      </w:rPr>
    </w:lvl>
    <w:lvl w:ilvl="4" w:tentative="0">
      <w:start w:val="0"/>
      <w:numFmt w:val="bullet"/>
      <w:lvlText w:val="•"/>
      <w:lvlJc w:val="left"/>
      <w:pPr>
        <w:ind w:left="4914" w:hanging="315"/>
      </w:pPr>
      <w:rPr>
        <w:rFonts w:hint="default"/>
        <w:lang w:val="zh-CN" w:eastAsia="zh-CN" w:bidi="zh-CN"/>
      </w:rPr>
    </w:lvl>
    <w:lvl w:ilvl="5" w:tentative="0">
      <w:start w:val="0"/>
      <w:numFmt w:val="bullet"/>
      <w:lvlText w:val="•"/>
      <w:lvlJc w:val="left"/>
      <w:pPr>
        <w:ind w:left="5823" w:hanging="315"/>
      </w:pPr>
      <w:rPr>
        <w:rFonts w:hint="default"/>
        <w:lang w:val="zh-CN" w:eastAsia="zh-CN" w:bidi="zh-CN"/>
      </w:rPr>
    </w:lvl>
    <w:lvl w:ilvl="6" w:tentative="0">
      <w:start w:val="0"/>
      <w:numFmt w:val="bullet"/>
      <w:lvlText w:val="•"/>
      <w:lvlJc w:val="left"/>
      <w:pPr>
        <w:ind w:left="6732" w:hanging="315"/>
      </w:pPr>
      <w:rPr>
        <w:rFonts w:hint="default"/>
        <w:lang w:val="zh-CN" w:eastAsia="zh-CN" w:bidi="zh-CN"/>
      </w:rPr>
    </w:lvl>
    <w:lvl w:ilvl="7" w:tentative="0">
      <w:start w:val="0"/>
      <w:numFmt w:val="bullet"/>
      <w:lvlText w:val="•"/>
      <w:lvlJc w:val="left"/>
      <w:pPr>
        <w:ind w:left="7640" w:hanging="315"/>
      </w:pPr>
      <w:rPr>
        <w:rFonts w:hint="default"/>
        <w:lang w:val="zh-CN" w:eastAsia="zh-CN" w:bidi="zh-CN"/>
      </w:rPr>
    </w:lvl>
    <w:lvl w:ilvl="8" w:tentative="0">
      <w:start w:val="0"/>
      <w:numFmt w:val="bullet"/>
      <w:lvlText w:val="•"/>
      <w:lvlJc w:val="left"/>
      <w:pPr>
        <w:ind w:left="8549" w:hanging="315"/>
      </w:pPr>
      <w:rPr>
        <w:rFonts w:hint="default"/>
        <w:lang w:val="zh-CN" w:eastAsia="zh-CN" w:bidi="zh-CN"/>
      </w:rPr>
    </w:lvl>
  </w:abstractNum>
  <w:abstractNum w:abstractNumId="46">
    <w:nsid w:val="DD02F921"/>
    <w:multiLevelType w:val="multilevel"/>
    <w:tmpl w:val="DD02F921"/>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47">
    <w:nsid w:val="DD3DB379"/>
    <w:multiLevelType w:val="multilevel"/>
    <w:tmpl w:val="DD3DB379"/>
    <w:lvl w:ilvl="0" w:tentative="0">
      <w:start w:val="1"/>
      <w:numFmt w:val="decimal"/>
      <w:lvlText w:val="%1）"/>
      <w:lvlJc w:val="left"/>
      <w:pPr>
        <w:ind w:left="1381" w:hanging="361"/>
        <w:jc w:val="left"/>
      </w:pPr>
      <w:rPr>
        <w:rFonts w:hint="default" w:ascii="宋体" w:hAnsi="宋体" w:eastAsia="宋体" w:cs="宋体"/>
        <w:spacing w:val="-60"/>
        <w:w w:val="100"/>
        <w:sz w:val="22"/>
        <w:szCs w:val="22"/>
        <w:lang w:val="zh-CN" w:eastAsia="zh-CN" w:bidi="zh-CN"/>
      </w:rPr>
    </w:lvl>
    <w:lvl w:ilvl="1" w:tentative="0">
      <w:start w:val="0"/>
      <w:numFmt w:val="bullet"/>
      <w:lvlText w:val="•"/>
      <w:lvlJc w:val="left"/>
      <w:pPr>
        <w:ind w:left="2278" w:hanging="361"/>
      </w:pPr>
      <w:rPr>
        <w:rFonts w:hint="default"/>
        <w:lang w:val="zh-CN" w:eastAsia="zh-CN" w:bidi="zh-CN"/>
      </w:rPr>
    </w:lvl>
    <w:lvl w:ilvl="2" w:tentative="0">
      <w:start w:val="0"/>
      <w:numFmt w:val="bullet"/>
      <w:lvlText w:val="•"/>
      <w:lvlJc w:val="left"/>
      <w:pPr>
        <w:ind w:left="3177" w:hanging="361"/>
      </w:pPr>
      <w:rPr>
        <w:rFonts w:hint="default"/>
        <w:lang w:val="zh-CN" w:eastAsia="zh-CN" w:bidi="zh-CN"/>
      </w:rPr>
    </w:lvl>
    <w:lvl w:ilvl="3" w:tentative="0">
      <w:start w:val="0"/>
      <w:numFmt w:val="bullet"/>
      <w:lvlText w:val="•"/>
      <w:lvlJc w:val="left"/>
      <w:pPr>
        <w:ind w:left="4076" w:hanging="361"/>
      </w:pPr>
      <w:rPr>
        <w:rFonts w:hint="default"/>
        <w:lang w:val="zh-CN" w:eastAsia="zh-CN" w:bidi="zh-CN"/>
      </w:rPr>
    </w:lvl>
    <w:lvl w:ilvl="4" w:tentative="0">
      <w:start w:val="0"/>
      <w:numFmt w:val="bullet"/>
      <w:lvlText w:val="•"/>
      <w:lvlJc w:val="left"/>
      <w:pPr>
        <w:ind w:left="4974" w:hanging="361"/>
      </w:pPr>
      <w:rPr>
        <w:rFonts w:hint="default"/>
        <w:lang w:val="zh-CN" w:eastAsia="zh-CN" w:bidi="zh-CN"/>
      </w:rPr>
    </w:lvl>
    <w:lvl w:ilvl="5" w:tentative="0">
      <w:start w:val="0"/>
      <w:numFmt w:val="bullet"/>
      <w:lvlText w:val="•"/>
      <w:lvlJc w:val="left"/>
      <w:pPr>
        <w:ind w:left="5873" w:hanging="361"/>
      </w:pPr>
      <w:rPr>
        <w:rFonts w:hint="default"/>
        <w:lang w:val="zh-CN" w:eastAsia="zh-CN" w:bidi="zh-CN"/>
      </w:rPr>
    </w:lvl>
    <w:lvl w:ilvl="6" w:tentative="0">
      <w:start w:val="0"/>
      <w:numFmt w:val="bullet"/>
      <w:lvlText w:val="•"/>
      <w:lvlJc w:val="left"/>
      <w:pPr>
        <w:ind w:left="6772" w:hanging="361"/>
      </w:pPr>
      <w:rPr>
        <w:rFonts w:hint="default"/>
        <w:lang w:val="zh-CN" w:eastAsia="zh-CN" w:bidi="zh-CN"/>
      </w:rPr>
    </w:lvl>
    <w:lvl w:ilvl="7" w:tentative="0">
      <w:start w:val="0"/>
      <w:numFmt w:val="bullet"/>
      <w:lvlText w:val="•"/>
      <w:lvlJc w:val="left"/>
      <w:pPr>
        <w:ind w:left="7670" w:hanging="361"/>
      </w:pPr>
      <w:rPr>
        <w:rFonts w:hint="default"/>
        <w:lang w:val="zh-CN" w:eastAsia="zh-CN" w:bidi="zh-CN"/>
      </w:rPr>
    </w:lvl>
    <w:lvl w:ilvl="8" w:tentative="0">
      <w:start w:val="0"/>
      <w:numFmt w:val="bullet"/>
      <w:lvlText w:val="•"/>
      <w:lvlJc w:val="left"/>
      <w:pPr>
        <w:ind w:left="8569" w:hanging="361"/>
      </w:pPr>
      <w:rPr>
        <w:rFonts w:hint="default"/>
        <w:lang w:val="zh-CN" w:eastAsia="zh-CN" w:bidi="zh-CN"/>
      </w:rPr>
    </w:lvl>
  </w:abstractNum>
  <w:abstractNum w:abstractNumId="48">
    <w:nsid w:val="DD474A30"/>
    <w:multiLevelType w:val="multilevel"/>
    <w:tmpl w:val="DD474A30"/>
    <w:lvl w:ilvl="0" w:tentative="0">
      <w:start w:val="1"/>
      <w:numFmt w:val="decimal"/>
      <w:lvlText w:val="%1."/>
      <w:lvlJc w:val="left"/>
      <w:pPr>
        <w:ind w:left="540" w:hanging="241"/>
        <w:jc w:val="left"/>
      </w:pPr>
      <w:rPr>
        <w:rFonts w:hint="default" w:ascii="宋体" w:hAnsi="宋体" w:eastAsia="宋体" w:cs="宋体"/>
        <w:spacing w:val="-27"/>
        <w:w w:val="100"/>
        <w:sz w:val="22"/>
        <w:szCs w:val="22"/>
        <w:lang w:val="zh-CN" w:eastAsia="zh-CN" w:bidi="zh-CN"/>
      </w:rPr>
    </w:lvl>
    <w:lvl w:ilvl="1" w:tentative="0">
      <w:start w:val="0"/>
      <w:numFmt w:val="bullet"/>
      <w:lvlText w:val="•"/>
      <w:lvlJc w:val="left"/>
      <w:pPr>
        <w:ind w:left="1522" w:hanging="241"/>
      </w:pPr>
      <w:rPr>
        <w:rFonts w:hint="default"/>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49">
    <w:nsid w:val="E43A772E"/>
    <w:multiLevelType w:val="multilevel"/>
    <w:tmpl w:val="E43A772E"/>
    <w:lvl w:ilvl="0" w:tentative="0">
      <w:start w:val="1"/>
      <w:numFmt w:val="decimal"/>
      <w:lvlText w:val="（%1）"/>
      <w:lvlJc w:val="left"/>
      <w:pPr>
        <w:ind w:left="1621"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50">
    <w:nsid w:val="E4D85DB5"/>
    <w:multiLevelType w:val="multilevel"/>
    <w:tmpl w:val="E4D85DB5"/>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51">
    <w:nsid w:val="E52D9448"/>
    <w:multiLevelType w:val="multilevel"/>
    <w:tmpl w:val="E52D9448"/>
    <w:lvl w:ilvl="0" w:tentative="0">
      <w:start w:val="4"/>
      <w:numFmt w:val="decimal"/>
      <w:lvlText w:val="%1"/>
      <w:lvlJc w:val="left"/>
      <w:pPr>
        <w:ind w:left="1440" w:hanging="420"/>
        <w:jc w:val="left"/>
      </w:pPr>
      <w:rPr>
        <w:rFonts w:hint="default"/>
        <w:lang w:val="zh-CN" w:eastAsia="zh-CN" w:bidi="zh-CN"/>
      </w:rPr>
    </w:lvl>
    <w:lvl w:ilvl="1" w:tentative="0">
      <w:start w:val="2"/>
      <w:numFmt w:val="decimal"/>
      <w:lvlText w:val="%1.%2"/>
      <w:lvlJc w:val="left"/>
      <w:pPr>
        <w:ind w:left="144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3225" w:hanging="420"/>
      </w:pPr>
      <w:rPr>
        <w:rFonts w:hint="default"/>
        <w:lang w:val="zh-CN" w:eastAsia="zh-CN" w:bidi="zh-CN"/>
      </w:rPr>
    </w:lvl>
    <w:lvl w:ilvl="3" w:tentative="0">
      <w:start w:val="0"/>
      <w:numFmt w:val="bullet"/>
      <w:lvlText w:val="•"/>
      <w:lvlJc w:val="left"/>
      <w:pPr>
        <w:ind w:left="4118" w:hanging="420"/>
      </w:pPr>
      <w:rPr>
        <w:rFonts w:hint="default"/>
        <w:lang w:val="zh-CN" w:eastAsia="zh-CN" w:bidi="zh-CN"/>
      </w:rPr>
    </w:lvl>
    <w:lvl w:ilvl="4" w:tentative="0">
      <w:start w:val="0"/>
      <w:numFmt w:val="bullet"/>
      <w:lvlText w:val="•"/>
      <w:lvlJc w:val="left"/>
      <w:pPr>
        <w:ind w:left="5010" w:hanging="420"/>
      </w:pPr>
      <w:rPr>
        <w:rFonts w:hint="default"/>
        <w:lang w:val="zh-CN" w:eastAsia="zh-CN" w:bidi="zh-CN"/>
      </w:rPr>
    </w:lvl>
    <w:lvl w:ilvl="5" w:tentative="0">
      <w:start w:val="0"/>
      <w:numFmt w:val="bullet"/>
      <w:lvlText w:val="•"/>
      <w:lvlJc w:val="left"/>
      <w:pPr>
        <w:ind w:left="5903" w:hanging="420"/>
      </w:pPr>
      <w:rPr>
        <w:rFonts w:hint="default"/>
        <w:lang w:val="zh-CN" w:eastAsia="zh-CN" w:bidi="zh-CN"/>
      </w:rPr>
    </w:lvl>
    <w:lvl w:ilvl="6" w:tentative="0">
      <w:start w:val="0"/>
      <w:numFmt w:val="bullet"/>
      <w:lvlText w:val="•"/>
      <w:lvlJc w:val="left"/>
      <w:pPr>
        <w:ind w:left="6796" w:hanging="420"/>
      </w:pPr>
      <w:rPr>
        <w:rFonts w:hint="default"/>
        <w:lang w:val="zh-CN" w:eastAsia="zh-CN" w:bidi="zh-CN"/>
      </w:rPr>
    </w:lvl>
    <w:lvl w:ilvl="7" w:tentative="0">
      <w:start w:val="0"/>
      <w:numFmt w:val="bullet"/>
      <w:lvlText w:val="•"/>
      <w:lvlJc w:val="left"/>
      <w:pPr>
        <w:ind w:left="7688" w:hanging="420"/>
      </w:pPr>
      <w:rPr>
        <w:rFonts w:hint="default"/>
        <w:lang w:val="zh-CN" w:eastAsia="zh-CN" w:bidi="zh-CN"/>
      </w:rPr>
    </w:lvl>
    <w:lvl w:ilvl="8" w:tentative="0">
      <w:start w:val="0"/>
      <w:numFmt w:val="bullet"/>
      <w:lvlText w:val="•"/>
      <w:lvlJc w:val="left"/>
      <w:pPr>
        <w:ind w:left="8581" w:hanging="420"/>
      </w:pPr>
      <w:rPr>
        <w:rFonts w:hint="default"/>
        <w:lang w:val="zh-CN" w:eastAsia="zh-CN" w:bidi="zh-CN"/>
      </w:rPr>
    </w:lvl>
  </w:abstractNum>
  <w:abstractNum w:abstractNumId="52">
    <w:nsid w:val="E6E98F67"/>
    <w:multiLevelType w:val="multilevel"/>
    <w:tmpl w:val="E6E98F67"/>
    <w:lvl w:ilvl="0" w:tentative="0">
      <w:start w:val="1"/>
      <w:numFmt w:val="decimal"/>
      <w:lvlText w:val="（%1）"/>
      <w:lvlJc w:val="left"/>
      <w:pPr>
        <w:ind w:left="540" w:hanging="601"/>
        <w:jc w:val="left"/>
      </w:pPr>
      <w:rPr>
        <w:rFonts w:hint="default" w:ascii="宋体" w:hAnsi="宋体" w:eastAsia="宋体" w:cs="宋体"/>
        <w:spacing w:val="-17"/>
        <w:w w:val="100"/>
        <w:sz w:val="22"/>
        <w:szCs w:val="22"/>
        <w:lang w:val="zh-CN" w:eastAsia="zh-CN" w:bidi="zh-CN"/>
      </w:rPr>
    </w:lvl>
    <w:lvl w:ilvl="1" w:tentative="0">
      <w:start w:val="1"/>
      <w:numFmt w:val="decimal"/>
      <w:lvlText w:val="%2."/>
      <w:lvlJc w:val="left"/>
      <w:pPr>
        <w:ind w:left="540" w:hanging="24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53">
    <w:nsid w:val="E887D337"/>
    <w:multiLevelType w:val="multilevel"/>
    <w:tmpl w:val="E887D337"/>
    <w:lvl w:ilvl="0" w:tentative="0">
      <w:start w:val="1"/>
      <w:numFmt w:val="decimal"/>
      <w:lvlText w:val="%1."/>
      <w:lvlJc w:val="left"/>
      <w:pPr>
        <w:ind w:left="1172" w:hanging="212"/>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098" w:hanging="212"/>
      </w:pPr>
      <w:rPr>
        <w:rFonts w:hint="default"/>
        <w:lang w:val="zh-CN" w:eastAsia="zh-CN" w:bidi="zh-CN"/>
      </w:rPr>
    </w:lvl>
    <w:lvl w:ilvl="2" w:tentative="0">
      <w:start w:val="0"/>
      <w:numFmt w:val="bullet"/>
      <w:lvlText w:val="•"/>
      <w:lvlJc w:val="left"/>
      <w:pPr>
        <w:ind w:left="3017" w:hanging="212"/>
      </w:pPr>
      <w:rPr>
        <w:rFonts w:hint="default"/>
        <w:lang w:val="zh-CN" w:eastAsia="zh-CN" w:bidi="zh-CN"/>
      </w:rPr>
    </w:lvl>
    <w:lvl w:ilvl="3" w:tentative="0">
      <w:start w:val="0"/>
      <w:numFmt w:val="bullet"/>
      <w:lvlText w:val="•"/>
      <w:lvlJc w:val="left"/>
      <w:pPr>
        <w:ind w:left="3936" w:hanging="212"/>
      </w:pPr>
      <w:rPr>
        <w:rFonts w:hint="default"/>
        <w:lang w:val="zh-CN" w:eastAsia="zh-CN" w:bidi="zh-CN"/>
      </w:rPr>
    </w:lvl>
    <w:lvl w:ilvl="4" w:tentative="0">
      <w:start w:val="0"/>
      <w:numFmt w:val="bullet"/>
      <w:lvlText w:val="•"/>
      <w:lvlJc w:val="left"/>
      <w:pPr>
        <w:ind w:left="4854" w:hanging="212"/>
      </w:pPr>
      <w:rPr>
        <w:rFonts w:hint="default"/>
        <w:lang w:val="zh-CN" w:eastAsia="zh-CN" w:bidi="zh-CN"/>
      </w:rPr>
    </w:lvl>
    <w:lvl w:ilvl="5" w:tentative="0">
      <w:start w:val="0"/>
      <w:numFmt w:val="bullet"/>
      <w:lvlText w:val="•"/>
      <w:lvlJc w:val="left"/>
      <w:pPr>
        <w:ind w:left="5773" w:hanging="212"/>
      </w:pPr>
      <w:rPr>
        <w:rFonts w:hint="default"/>
        <w:lang w:val="zh-CN" w:eastAsia="zh-CN" w:bidi="zh-CN"/>
      </w:rPr>
    </w:lvl>
    <w:lvl w:ilvl="6" w:tentative="0">
      <w:start w:val="0"/>
      <w:numFmt w:val="bullet"/>
      <w:lvlText w:val="•"/>
      <w:lvlJc w:val="left"/>
      <w:pPr>
        <w:ind w:left="6692" w:hanging="212"/>
      </w:pPr>
      <w:rPr>
        <w:rFonts w:hint="default"/>
        <w:lang w:val="zh-CN" w:eastAsia="zh-CN" w:bidi="zh-CN"/>
      </w:rPr>
    </w:lvl>
    <w:lvl w:ilvl="7" w:tentative="0">
      <w:start w:val="0"/>
      <w:numFmt w:val="bullet"/>
      <w:lvlText w:val="•"/>
      <w:lvlJc w:val="left"/>
      <w:pPr>
        <w:ind w:left="7610" w:hanging="212"/>
      </w:pPr>
      <w:rPr>
        <w:rFonts w:hint="default"/>
        <w:lang w:val="zh-CN" w:eastAsia="zh-CN" w:bidi="zh-CN"/>
      </w:rPr>
    </w:lvl>
    <w:lvl w:ilvl="8" w:tentative="0">
      <w:start w:val="0"/>
      <w:numFmt w:val="bullet"/>
      <w:lvlText w:val="•"/>
      <w:lvlJc w:val="left"/>
      <w:pPr>
        <w:ind w:left="8529" w:hanging="212"/>
      </w:pPr>
      <w:rPr>
        <w:rFonts w:hint="default"/>
        <w:lang w:val="zh-CN" w:eastAsia="zh-CN" w:bidi="zh-CN"/>
      </w:rPr>
    </w:lvl>
  </w:abstractNum>
  <w:abstractNum w:abstractNumId="54">
    <w:nsid w:val="E93EBC56"/>
    <w:multiLevelType w:val="multilevel"/>
    <w:tmpl w:val="E93EBC56"/>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55">
    <w:nsid w:val="EA28CC15"/>
    <w:multiLevelType w:val="multilevel"/>
    <w:tmpl w:val="EA28CC15"/>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56">
    <w:nsid w:val="EFCECDC7"/>
    <w:multiLevelType w:val="multilevel"/>
    <w:tmpl w:val="EFCECDC7"/>
    <w:lvl w:ilvl="0" w:tentative="0">
      <w:start w:val="1"/>
      <w:numFmt w:val="decimal"/>
      <w:lvlText w:val="（%1）"/>
      <w:lvlJc w:val="left"/>
      <w:pPr>
        <w:ind w:left="1141"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57">
    <w:nsid w:val="F066642F"/>
    <w:multiLevelType w:val="multilevel"/>
    <w:tmpl w:val="F066642F"/>
    <w:lvl w:ilvl="0" w:tentative="0">
      <w:start w:val="3"/>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58">
    <w:nsid w:val="F1FCDEFA"/>
    <w:multiLevelType w:val="multilevel"/>
    <w:tmpl w:val="F1FCDEFA"/>
    <w:lvl w:ilvl="0" w:tentative="0">
      <w:start w:val="5"/>
      <w:numFmt w:val="decimal"/>
      <w:lvlText w:val="%1"/>
      <w:lvlJc w:val="left"/>
      <w:pPr>
        <w:ind w:left="1023" w:hanging="483"/>
        <w:jc w:val="left"/>
      </w:pPr>
      <w:rPr>
        <w:rFonts w:hint="default"/>
        <w:lang w:val="zh-CN" w:eastAsia="zh-CN" w:bidi="zh-CN"/>
      </w:rPr>
    </w:lvl>
    <w:lvl w:ilvl="1" w:tentative="0">
      <w:start w:val="1"/>
      <w:numFmt w:val="decimal"/>
      <w:lvlText w:val="%1.%2"/>
      <w:lvlJc w:val="left"/>
      <w:pPr>
        <w:ind w:left="1023" w:hanging="483"/>
        <w:jc w:val="right"/>
      </w:pPr>
      <w:rPr>
        <w:rFonts w:hint="default"/>
        <w:b/>
        <w:bCs/>
        <w:spacing w:val="0"/>
        <w:w w:val="99"/>
        <w:lang w:val="zh-CN" w:eastAsia="zh-CN" w:bidi="zh-CN"/>
      </w:rPr>
    </w:lvl>
    <w:lvl w:ilvl="2" w:tentative="0">
      <w:start w:val="1"/>
      <w:numFmt w:val="decimal"/>
      <w:lvlText w:val="（%3）"/>
      <w:lvlJc w:val="left"/>
      <w:pPr>
        <w:ind w:left="1621" w:hanging="601"/>
        <w:jc w:val="left"/>
      </w:pPr>
      <w:rPr>
        <w:rFonts w:hint="default" w:ascii="宋体" w:hAnsi="宋体" w:eastAsia="宋体" w:cs="宋体"/>
        <w:b/>
        <w:bCs/>
        <w:w w:val="99"/>
        <w:sz w:val="22"/>
        <w:szCs w:val="22"/>
        <w:lang w:val="zh-CN" w:eastAsia="zh-CN" w:bidi="zh-CN"/>
      </w:rPr>
    </w:lvl>
    <w:lvl w:ilvl="3" w:tentative="0">
      <w:start w:val="0"/>
      <w:numFmt w:val="bullet"/>
      <w:lvlText w:val="•"/>
      <w:lvlJc w:val="left"/>
      <w:pPr>
        <w:ind w:left="3563" w:hanging="601"/>
      </w:pPr>
      <w:rPr>
        <w:rFonts w:hint="default"/>
        <w:lang w:val="zh-CN" w:eastAsia="zh-CN" w:bidi="zh-CN"/>
      </w:rPr>
    </w:lvl>
    <w:lvl w:ilvl="4" w:tentative="0">
      <w:start w:val="0"/>
      <w:numFmt w:val="bullet"/>
      <w:lvlText w:val="•"/>
      <w:lvlJc w:val="left"/>
      <w:pPr>
        <w:ind w:left="4535" w:hanging="601"/>
      </w:pPr>
      <w:rPr>
        <w:rFonts w:hint="default"/>
        <w:lang w:val="zh-CN" w:eastAsia="zh-CN" w:bidi="zh-CN"/>
      </w:rPr>
    </w:lvl>
    <w:lvl w:ilvl="5" w:tentative="0">
      <w:start w:val="0"/>
      <w:numFmt w:val="bullet"/>
      <w:lvlText w:val="•"/>
      <w:lvlJc w:val="left"/>
      <w:pPr>
        <w:ind w:left="5507" w:hanging="601"/>
      </w:pPr>
      <w:rPr>
        <w:rFonts w:hint="default"/>
        <w:lang w:val="zh-CN" w:eastAsia="zh-CN" w:bidi="zh-CN"/>
      </w:rPr>
    </w:lvl>
    <w:lvl w:ilvl="6" w:tentative="0">
      <w:start w:val="0"/>
      <w:numFmt w:val="bullet"/>
      <w:lvlText w:val="•"/>
      <w:lvlJc w:val="left"/>
      <w:pPr>
        <w:ind w:left="6479" w:hanging="601"/>
      </w:pPr>
      <w:rPr>
        <w:rFonts w:hint="default"/>
        <w:lang w:val="zh-CN" w:eastAsia="zh-CN" w:bidi="zh-CN"/>
      </w:rPr>
    </w:lvl>
    <w:lvl w:ilvl="7" w:tentative="0">
      <w:start w:val="0"/>
      <w:numFmt w:val="bullet"/>
      <w:lvlText w:val="•"/>
      <w:lvlJc w:val="left"/>
      <w:pPr>
        <w:ind w:left="7451" w:hanging="601"/>
      </w:pPr>
      <w:rPr>
        <w:rFonts w:hint="default"/>
        <w:lang w:val="zh-CN" w:eastAsia="zh-CN" w:bidi="zh-CN"/>
      </w:rPr>
    </w:lvl>
    <w:lvl w:ilvl="8" w:tentative="0">
      <w:start w:val="0"/>
      <w:numFmt w:val="bullet"/>
      <w:lvlText w:val="•"/>
      <w:lvlJc w:val="left"/>
      <w:pPr>
        <w:ind w:left="8423" w:hanging="601"/>
      </w:pPr>
      <w:rPr>
        <w:rFonts w:hint="default"/>
        <w:lang w:val="zh-CN" w:eastAsia="zh-CN" w:bidi="zh-CN"/>
      </w:rPr>
    </w:lvl>
  </w:abstractNum>
  <w:abstractNum w:abstractNumId="59">
    <w:nsid w:val="F237ACA1"/>
    <w:multiLevelType w:val="multilevel"/>
    <w:tmpl w:val="F237ACA1"/>
    <w:lvl w:ilvl="0" w:tentative="0">
      <w:start w:val="3"/>
      <w:numFmt w:val="decimal"/>
      <w:lvlText w:val="%1"/>
      <w:lvlJc w:val="left"/>
      <w:pPr>
        <w:ind w:left="540" w:hanging="660"/>
        <w:jc w:val="left"/>
      </w:pPr>
      <w:rPr>
        <w:rFonts w:hint="default"/>
        <w:lang w:val="zh-CN" w:eastAsia="zh-CN" w:bidi="zh-CN"/>
      </w:rPr>
    </w:lvl>
    <w:lvl w:ilvl="1" w:tentative="0">
      <w:start w:val="2"/>
      <w:numFmt w:val="decimal"/>
      <w:lvlText w:val="%1.%2"/>
      <w:lvlJc w:val="left"/>
      <w:pPr>
        <w:ind w:left="540" w:hanging="660"/>
        <w:jc w:val="left"/>
      </w:pPr>
      <w:rPr>
        <w:rFonts w:hint="default"/>
        <w:lang w:val="zh-CN" w:eastAsia="zh-CN" w:bidi="zh-CN"/>
      </w:rPr>
    </w:lvl>
    <w:lvl w:ilvl="2" w:tentative="0">
      <w:start w:val="4"/>
      <w:numFmt w:val="decimal"/>
      <w:lvlText w:val="%1.%2.%3"/>
      <w:lvlJc w:val="left"/>
      <w:pPr>
        <w:ind w:left="540" w:hanging="660"/>
        <w:jc w:val="righ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60">
    <w:nsid w:val="F2A81E1A"/>
    <w:multiLevelType w:val="multilevel"/>
    <w:tmpl w:val="F2A81E1A"/>
    <w:lvl w:ilvl="0" w:tentative="0">
      <w:start w:val="2"/>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4" w:hanging="525"/>
      </w:pPr>
      <w:rPr>
        <w:rFonts w:hint="default"/>
        <w:lang w:val="zh-CN" w:eastAsia="zh-CN" w:bidi="zh-CN"/>
      </w:rPr>
    </w:lvl>
    <w:lvl w:ilvl="6" w:tentative="0">
      <w:start w:val="0"/>
      <w:numFmt w:val="bullet"/>
      <w:lvlText w:val="•"/>
      <w:lvlJc w:val="left"/>
      <w:pPr>
        <w:ind w:left="4285"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61">
    <w:nsid w:val="F30FC083"/>
    <w:multiLevelType w:val="multilevel"/>
    <w:tmpl w:val="F30FC083"/>
    <w:lvl w:ilvl="0" w:tentative="0">
      <w:start w:val="4"/>
      <w:numFmt w:val="decimal"/>
      <w:lvlText w:val="%1"/>
      <w:lvlJc w:val="left"/>
      <w:pPr>
        <w:ind w:left="960" w:hanging="420"/>
        <w:jc w:val="left"/>
      </w:pPr>
      <w:rPr>
        <w:rFonts w:hint="default"/>
        <w:lang w:val="zh-CN" w:eastAsia="zh-CN" w:bidi="zh-CN"/>
      </w:rPr>
    </w:lvl>
    <w:lvl w:ilvl="1" w:tentative="0">
      <w:start w:val="3"/>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62">
    <w:nsid w:val="F411B296"/>
    <w:multiLevelType w:val="multilevel"/>
    <w:tmpl w:val="F411B296"/>
    <w:lvl w:ilvl="0" w:tentative="0">
      <w:start w:val="4"/>
      <w:numFmt w:val="decimal"/>
      <w:lvlText w:val="%1"/>
      <w:lvlJc w:val="left"/>
      <w:pPr>
        <w:ind w:left="1424" w:hanging="884"/>
        <w:jc w:val="left"/>
      </w:pPr>
      <w:rPr>
        <w:rFonts w:hint="default"/>
        <w:lang w:val="zh-CN" w:eastAsia="zh-CN" w:bidi="zh-CN"/>
      </w:rPr>
    </w:lvl>
    <w:lvl w:ilvl="1" w:tentative="0">
      <w:start w:val="1"/>
      <w:numFmt w:val="decimal"/>
      <w:lvlText w:val="%1.%2"/>
      <w:lvlJc w:val="left"/>
      <w:pPr>
        <w:ind w:left="1424" w:hanging="884"/>
        <w:jc w:val="left"/>
      </w:pPr>
      <w:rPr>
        <w:rFonts w:hint="default"/>
        <w:lang w:val="zh-CN" w:eastAsia="zh-CN" w:bidi="zh-CN"/>
      </w:rPr>
    </w:lvl>
    <w:lvl w:ilvl="2" w:tentative="0">
      <w:start w:val="10"/>
      <w:numFmt w:val="decimal"/>
      <w:lvlText w:val="%1.%2.%3"/>
      <w:lvlJc w:val="left"/>
      <w:pPr>
        <w:ind w:left="1424" w:hanging="884"/>
        <w:jc w:val="left"/>
      </w:pPr>
      <w:rPr>
        <w:rFonts w:hint="default" w:ascii="宋体" w:hAnsi="宋体" w:eastAsia="宋体" w:cs="宋体"/>
        <w:w w:val="104"/>
        <w:sz w:val="24"/>
        <w:szCs w:val="24"/>
        <w:lang w:val="zh-CN" w:eastAsia="zh-CN" w:bidi="zh-CN"/>
      </w:rPr>
    </w:lvl>
    <w:lvl w:ilvl="3" w:tentative="0">
      <w:start w:val="1"/>
      <w:numFmt w:val="lowerLetter"/>
      <w:lvlText w:val="%4."/>
      <w:lvlJc w:val="left"/>
      <w:pPr>
        <w:ind w:left="1264" w:hanging="244"/>
        <w:jc w:val="left"/>
      </w:pPr>
      <w:rPr>
        <w:rFonts w:hint="default"/>
        <w:spacing w:val="-3"/>
        <w:w w:val="99"/>
        <w:sz w:val="22"/>
        <w:szCs w:val="22"/>
        <w:u w:val="single" w:color="000000"/>
        <w:lang w:val="zh-CN" w:eastAsia="zh-CN" w:bidi="zh-CN"/>
      </w:rPr>
    </w:lvl>
    <w:lvl w:ilvl="4" w:tentative="0">
      <w:start w:val="0"/>
      <w:numFmt w:val="bullet"/>
      <w:lvlText w:val="•"/>
      <w:lvlJc w:val="left"/>
      <w:pPr>
        <w:ind w:left="4402" w:hanging="244"/>
      </w:pPr>
      <w:rPr>
        <w:rFonts w:hint="default"/>
        <w:lang w:val="zh-CN" w:eastAsia="zh-CN" w:bidi="zh-CN"/>
      </w:rPr>
    </w:lvl>
    <w:lvl w:ilvl="5" w:tentative="0">
      <w:start w:val="0"/>
      <w:numFmt w:val="bullet"/>
      <w:lvlText w:val="•"/>
      <w:lvlJc w:val="left"/>
      <w:pPr>
        <w:ind w:left="5396" w:hanging="244"/>
      </w:pPr>
      <w:rPr>
        <w:rFonts w:hint="default"/>
        <w:lang w:val="zh-CN" w:eastAsia="zh-CN" w:bidi="zh-CN"/>
      </w:rPr>
    </w:lvl>
    <w:lvl w:ilvl="6" w:tentative="0">
      <w:start w:val="0"/>
      <w:numFmt w:val="bullet"/>
      <w:lvlText w:val="•"/>
      <w:lvlJc w:val="left"/>
      <w:pPr>
        <w:ind w:left="6390" w:hanging="244"/>
      </w:pPr>
      <w:rPr>
        <w:rFonts w:hint="default"/>
        <w:lang w:val="zh-CN" w:eastAsia="zh-CN" w:bidi="zh-CN"/>
      </w:rPr>
    </w:lvl>
    <w:lvl w:ilvl="7" w:tentative="0">
      <w:start w:val="0"/>
      <w:numFmt w:val="bullet"/>
      <w:lvlText w:val="•"/>
      <w:lvlJc w:val="left"/>
      <w:pPr>
        <w:ind w:left="7384" w:hanging="244"/>
      </w:pPr>
      <w:rPr>
        <w:rFonts w:hint="default"/>
        <w:lang w:val="zh-CN" w:eastAsia="zh-CN" w:bidi="zh-CN"/>
      </w:rPr>
    </w:lvl>
    <w:lvl w:ilvl="8" w:tentative="0">
      <w:start w:val="0"/>
      <w:numFmt w:val="bullet"/>
      <w:lvlText w:val="•"/>
      <w:lvlJc w:val="left"/>
      <w:pPr>
        <w:ind w:left="8378" w:hanging="244"/>
      </w:pPr>
      <w:rPr>
        <w:rFonts w:hint="default"/>
        <w:lang w:val="zh-CN" w:eastAsia="zh-CN" w:bidi="zh-CN"/>
      </w:rPr>
    </w:lvl>
  </w:abstractNum>
  <w:abstractNum w:abstractNumId="63">
    <w:nsid w:val="F46CCC20"/>
    <w:multiLevelType w:val="multilevel"/>
    <w:tmpl w:val="F46CCC20"/>
    <w:lvl w:ilvl="0" w:tentative="0">
      <w:start w:val="4"/>
      <w:numFmt w:val="decimal"/>
      <w:lvlText w:val="%1"/>
      <w:lvlJc w:val="left"/>
      <w:pPr>
        <w:ind w:left="694" w:hanging="728"/>
        <w:jc w:val="left"/>
      </w:pPr>
      <w:rPr>
        <w:rFonts w:hint="default"/>
        <w:lang w:val="zh-CN" w:eastAsia="zh-CN" w:bidi="zh-CN"/>
      </w:rPr>
    </w:lvl>
    <w:lvl w:ilvl="1" w:tentative="0">
      <w:start w:val="2"/>
      <w:numFmt w:val="decimal"/>
      <w:lvlText w:val="%1.%2"/>
      <w:lvlJc w:val="left"/>
      <w:pPr>
        <w:ind w:left="694" w:hanging="728"/>
        <w:jc w:val="left"/>
      </w:pPr>
      <w:rPr>
        <w:rFonts w:hint="default"/>
        <w:lang w:val="zh-CN" w:eastAsia="zh-CN" w:bidi="zh-CN"/>
      </w:rPr>
    </w:lvl>
    <w:lvl w:ilvl="2" w:tentative="0">
      <w:start w:val="1"/>
      <w:numFmt w:val="decimal"/>
      <w:lvlText w:val="%1.%2.%3"/>
      <w:lvlJc w:val="left"/>
      <w:pPr>
        <w:ind w:left="694" w:hanging="728"/>
        <w:jc w:val="left"/>
      </w:pPr>
      <w:rPr>
        <w:rFonts w:hint="default" w:ascii="宋体" w:hAnsi="宋体" w:eastAsia="宋体" w:cs="宋体"/>
        <w:b/>
        <w:bCs/>
        <w:spacing w:val="0"/>
        <w:w w:val="99"/>
        <w:sz w:val="24"/>
        <w:szCs w:val="24"/>
        <w:lang w:val="zh-CN" w:eastAsia="zh-CN" w:bidi="zh-CN"/>
      </w:rPr>
    </w:lvl>
    <w:lvl w:ilvl="3" w:tentative="0">
      <w:start w:val="0"/>
      <w:numFmt w:val="bullet"/>
      <w:lvlText w:val="•"/>
      <w:lvlJc w:val="left"/>
      <w:pPr>
        <w:ind w:left="3600" w:hanging="728"/>
      </w:pPr>
      <w:rPr>
        <w:rFonts w:hint="default"/>
        <w:lang w:val="zh-CN" w:eastAsia="zh-CN" w:bidi="zh-CN"/>
      </w:rPr>
    </w:lvl>
    <w:lvl w:ilvl="4" w:tentative="0">
      <w:start w:val="0"/>
      <w:numFmt w:val="bullet"/>
      <w:lvlText w:val="•"/>
      <w:lvlJc w:val="left"/>
      <w:pPr>
        <w:ind w:left="4566" w:hanging="728"/>
      </w:pPr>
      <w:rPr>
        <w:rFonts w:hint="default"/>
        <w:lang w:val="zh-CN" w:eastAsia="zh-CN" w:bidi="zh-CN"/>
      </w:rPr>
    </w:lvl>
    <w:lvl w:ilvl="5" w:tentative="0">
      <w:start w:val="0"/>
      <w:numFmt w:val="bullet"/>
      <w:lvlText w:val="•"/>
      <w:lvlJc w:val="left"/>
      <w:pPr>
        <w:ind w:left="5533" w:hanging="728"/>
      </w:pPr>
      <w:rPr>
        <w:rFonts w:hint="default"/>
        <w:lang w:val="zh-CN" w:eastAsia="zh-CN" w:bidi="zh-CN"/>
      </w:rPr>
    </w:lvl>
    <w:lvl w:ilvl="6" w:tentative="0">
      <w:start w:val="0"/>
      <w:numFmt w:val="bullet"/>
      <w:lvlText w:val="•"/>
      <w:lvlJc w:val="left"/>
      <w:pPr>
        <w:ind w:left="6500" w:hanging="728"/>
      </w:pPr>
      <w:rPr>
        <w:rFonts w:hint="default"/>
        <w:lang w:val="zh-CN" w:eastAsia="zh-CN" w:bidi="zh-CN"/>
      </w:rPr>
    </w:lvl>
    <w:lvl w:ilvl="7" w:tentative="0">
      <w:start w:val="0"/>
      <w:numFmt w:val="bullet"/>
      <w:lvlText w:val="•"/>
      <w:lvlJc w:val="left"/>
      <w:pPr>
        <w:ind w:left="7466" w:hanging="728"/>
      </w:pPr>
      <w:rPr>
        <w:rFonts w:hint="default"/>
        <w:lang w:val="zh-CN" w:eastAsia="zh-CN" w:bidi="zh-CN"/>
      </w:rPr>
    </w:lvl>
    <w:lvl w:ilvl="8" w:tentative="0">
      <w:start w:val="0"/>
      <w:numFmt w:val="bullet"/>
      <w:lvlText w:val="•"/>
      <w:lvlJc w:val="left"/>
      <w:pPr>
        <w:ind w:left="8433" w:hanging="728"/>
      </w:pPr>
      <w:rPr>
        <w:rFonts w:hint="default"/>
        <w:lang w:val="zh-CN" w:eastAsia="zh-CN" w:bidi="zh-CN"/>
      </w:rPr>
    </w:lvl>
  </w:abstractNum>
  <w:abstractNum w:abstractNumId="64">
    <w:nsid w:val="F8949042"/>
    <w:multiLevelType w:val="multilevel"/>
    <w:tmpl w:val="F8949042"/>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65">
    <w:nsid w:val="F9718D3C"/>
    <w:multiLevelType w:val="multilevel"/>
    <w:tmpl w:val="F9718D3C"/>
    <w:lvl w:ilvl="0" w:tentative="0">
      <w:start w:val="1"/>
      <w:numFmt w:val="decimal"/>
      <w:lvlText w:val="（%1）"/>
      <w:lvlJc w:val="left"/>
      <w:pPr>
        <w:ind w:left="540" w:hanging="608"/>
        <w:jc w:val="right"/>
      </w:pPr>
      <w:rPr>
        <w:rFonts w:hint="default" w:ascii="宋体" w:hAnsi="宋体" w:eastAsia="宋体" w:cs="宋体"/>
        <w:spacing w:val="2"/>
        <w:w w:val="100"/>
        <w:sz w:val="22"/>
        <w:szCs w:val="22"/>
        <w:lang w:val="zh-CN" w:eastAsia="zh-CN" w:bidi="zh-CN"/>
      </w:rPr>
    </w:lvl>
    <w:lvl w:ilvl="1" w:tentative="0">
      <w:start w:val="0"/>
      <w:numFmt w:val="bullet"/>
      <w:lvlText w:val="•"/>
      <w:lvlJc w:val="left"/>
      <w:pPr>
        <w:ind w:left="1522" w:hanging="608"/>
      </w:pPr>
      <w:rPr>
        <w:rFonts w:hint="default"/>
        <w:lang w:val="zh-CN" w:eastAsia="zh-CN" w:bidi="zh-CN"/>
      </w:rPr>
    </w:lvl>
    <w:lvl w:ilvl="2" w:tentative="0">
      <w:start w:val="0"/>
      <w:numFmt w:val="bullet"/>
      <w:lvlText w:val="•"/>
      <w:lvlJc w:val="left"/>
      <w:pPr>
        <w:ind w:left="2505" w:hanging="608"/>
      </w:pPr>
      <w:rPr>
        <w:rFonts w:hint="default"/>
        <w:lang w:val="zh-CN" w:eastAsia="zh-CN" w:bidi="zh-CN"/>
      </w:rPr>
    </w:lvl>
    <w:lvl w:ilvl="3" w:tentative="0">
      <w:start w:val="0"/>
      <w:numFmt w:val="bullet"/>
      <w:lvlText w:val="•"/>
      <w:lvlJc w:val="left"/>
      <w:pPr>
        <w:ind w:left="3488" w:hanging="608"/>
      </w:pPr>
      <w:rPr>
        <w:rFonts w:hint="default"/>
        <w:lang w:val="zh-CN" w:eastAsia="zh-CN" w:bidi="zh-CN"/>
      </w:rPr>
    </w:lvl>
    <w:lvl w:ilvl="4" w:tentative="0">
      <w:start w:val="0"/>
      <w:numFmt w:val="bullet"/>
      <w:lvlText w:val="•"/>
      <w:lvlJc w:val="left"/>
      <w:pPr>
        <w:ind w:left="4470" w:hanging="608"/>
      </w:pPr>
      <w:rPr>
        <w:rFonts w:hint="default"/>
        <w:lang w:val="zh-CN" w:eastAsia="zh-CN" w:bidi="zh-CN"/>
      </w:rPr>
    </w:lvl>
    <w:lvl w:ilvl="5" w:tentative="0">
      <w:start w:val="0"/>
      <w:numFmt w:val="bullet"/>
      <w:lvlText w:val="•"/>
      <w:lvlJc w:val="left"/>
      <w:pPr>
        <w:ind w:left="5453" w:hanging="608"/>
      </w:pPr>
      <w:rPr>
        <w:rFonts w:hint="default"/>
        <w:lang w:val="zh-CN" w:eastAsia="zh-CN" w:bidi="zh-CN"/>
      </w:rPr>
    </w:lvl>
    <w:lvl w:ilvl="6" w:tentative="0">
      <w:start w:val="0"/>
      <w:numFmt w:val="bullet"/>
      <w:lvlText w:val="•"/>
      <w:lvlJc w:val="left"/>
      <w:pPr>
        <w:ind w:left="6436" w:hanging="608"/>
      </w:pPr>
      <w:rPr>
        <w:rFonts w:hint="default"/>
        <w:lang w:val="zh-CN" w:eastAsia="zh-CN" w:bidi="zh-CN"/>
      </w:rPr>
    </w:lvl>
    <w:lvl w:ilvl="7" w:tentative="0">
      <w:start w:val="0"/>
      <w:numFmt w:val="bullet"/>
      <w:lvlText w:val="•"/>
      <w:lvlJc w:val="left"/>
      <w:pPr>
        <w:ind w:left="7418" w:hanging="608"/>
      </w:pPr>
      <w:rPr>
        <w:rFonts w:hint="default"/>
        <w:lang w:val="zh-CN" w:eastAsia="zh-CN" w:bidi="zh-CN"/>
      </w:rPr>
    </w:lvl>
    <w:lvl w:ilvl="8" w:tentative="0">
      <w:start w:val="0"/>
      <w:numFmt w:val="bullet"/>
      <w:lvlText w:val="•"/>
      <w:lvlJc w:val="left"/>
      <w:pPr>
        <w:ind w:left="8401" w:hanging="608"/>
      </w:pPr>
      <w:rPr>
        <w:rFonts w:hint="default"/>
        <w:lang w:val="zh-CN" w:eastAsia="zh-CN" w:bidi="zh-CN"/>
      </w:rPr>
    </w:lvl>
  </w:abstractNum>
  <w:abstractNum w:abstractNumId="66">
    <w:nsid w:val="F97CED97"/>
    <w:multiLevelType w:val="multilevel"/>
    <w:tmpl w:val="F97CED97"/>
    <w:lvl w:ilvl="0" w:tentative="0">
      <w:start w:val="13"/>
      <w:numFmt w:val="decimal"/>
      <w:lvlText w:val="%1"/>
      <w:lvlJc w:val="left"/>
      <w:pPr>
        <w:ind w:left="540" w:hanging="780"/>
        <w:jc w:val="left"/>
      </w:pPr>
      <w:rPr>
        <w:rFonts w:hint="default"/>
        <w:lang w:val="zh-CN" w:eastAsia="zh-CN" w:bidi="zh-CN"/>
      </w:rPr>
    </w:lvl>
    <w:lvl w:ilvl="1" w:tentative="0">
      <w:start w:val="2"/>
      <w:numFmt w:val="decimal"/>
      <w:lvlText w:val="%1.%2"/>
      <w:lvlJc w:val="left"/>
      <w:pPr>
        <w:ind w:left="540" w:hanging="780"/>
        <w:jc w:val="left"/>
      </w:pPr>
      <w:rPr>
        <w:rFonts w:hint="default"/>
        <w:lang w:val="zh-CN" w:eastAsia="zh-CN" w:bidi="zh-CN"/>
      </w:rPr>
    </w:lvl>
    <w:lvl w:ilvl="2" w:tentative="0">
      <w:start w:val="3"/>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67">
    <w:nsid w:val="FCC85EE2"/>
    <w:multiLevelType w:val="multilevel"/>
    <w:tmpl w:val="FCC85EE2"/>
    <w:lvl w:ilvl="0" w:tentative="0">
      <w:start w:val="4"/>
      <w:numFmt w:val="decimal"/>
      <w:lvlText w:val="%1"/>
      <w:lvlJc w:val="left"/>
      <w:pPr>
        <w:ind w:left="540" w:hanging="660"/>
        <w:jc w:val="left"/>
      </w:pPr>
      <w:rPr>
        <w:rFonts w:hint="default"/>
        <w:lang w:val="zh-CN" w:eastAsia="zh-CN" w:bidi="zh-CN"/>
      </w:rPr>
    </w:lvl>
    <w:lvl w:ilvl="1" w:tentative="0">
      <w:start w:val="3"/>
      <w:numFmt w:val="decimal"/>
      <w:lvlText w:val="%1.%2"/>
      <w:lvlJc w:val="left"/>
      <w:pPr>
        <w:ind w:left="540" w:hanging="660"/>
        <w:jc w:val="left"/>
      </w:pPr>
      <w:rPr>
        <w:rFonts w:hint="default"/>
        <w:lang w:val="zh-CN" w:eastAsia="zh-CN" w:bidi="zh-CN"/>
      </w:rPr>
    </w:lvl>
    <w:lvl w:ilvl="2" w:tentative="0">
      <w:start w:val="2"/>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68">
    <w:nsid w:val="01D7E1C7"/>
    <w:multiLevelType w:val="multilevel"/>
    <w:tmpl w:val="01D7E1C7"/>
    <w:lvl w:ilvl="0" w:tentative="0">
      <w:start w:val="5"/>
      <w:numFmt w:val="decimal"/>
      <w:lvlText w:val="%1"/>
      <w:lvlJc w:val="left"/>
      <w:pPr>
        <w:ind w:left="1740" w:hanging="720"/>
        <w:jc w:val="left"/>
      </w:pPr>
      <w:rPr>
        <w:rFonts w:hint="default"/>
        <w:lang w:val="zh-CN" w:eastAsia="zh-CN" w:bidi="zh-CN"/>
      </w:rPr>
    </w:lvl>
    <w:lvl w:ilvl="1" w:tentative="0">
      <w:start w:val="2"/>
      <w:numFmt w:val="decimal"/>
      <w:lvlText w:val="%1.%2"/>
      <w:lvlJc w:val="left"/>
      <w:pPr>
        <w:ind w:left="1740" w:hanging="720"/>
        <w:jc w:val="left"/>
      </w:pPr>
      <w:rPr>
        <w:rFonts w:hint="default"/>
        <w:lang w:val="zh-CN" w:eastAsia="zh-CN" w:bidi="zh-CN"/>
      </w:rPr>
    </w:lvl>
    <w:lvl w:ilvl="2" w:tentative="0">
      <w:start w:val="1"/>
      <w:numFmt w:val="decimal"/>
      <w:lvlText w:val="%1.%2.%3"/>
      <w:lvlJc w:val="left"/>
      <w:pPr>
        <w:ind w:left="174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328" w:hanging="720"/>
      </w:pPr>
      <w:rPr>
        <w:rFonts w:hint="default"/>
        <w:lang w:val="zh-CN" w:eastAsia="zh-CN" w:bidi="zh-CN"/>
      </w:rPr>
    </w:lvl>
    <w:lvl w:ilvl="4" w:tentative="0">
      <w:start w:val="0"/>
      <w:numFmt w:val="bullet"/>
      <w:lvlText w:val="•"/>
      <w:lvlJc w:val="left"/>
      <w:pPr>
        <w:ind w:left="5190" w:hanging="720"/>
      </w:pPr>
      <w:rPr>
        <w:rFonts w:hint="default"/>
        <w:lang w:val="zh-CN" w:eastAsia="zh-CN" w:bidi="zh-CN"/>
      </w:rPr>
    </w:lvl>
    <w:lvl w:ilvl="5" w:tentative="0">
      <w:start w:val="0"/>
      <w:numFmt w:val="bullet"/>
      <w:lvlText w:val="•"/>
      <w:lvlJc w:val="left"/>
      <w:pPr>
        <w:ind w:left="6053" w:hanging="720"/>
      </w:pPr>
      <w:rPr>
        <w:rFonts w:hint="default"/>
        <w:lang w:val="zh-CN" w:eastAsia="zh-CN" w:bidi="zh-CN"/>
      </w:rPr>
    </w:lvl>
    <w:lvl w:ilvl="6" w:tentative="0">
      <w:start w:val="0"/>
      <w:numFmt w:val="bullet"/>
      <w:lvlText w:val="•"/>
      <w:lvlJc w:val="left"/>
      <w:pPr>
        <w:ind w:left="6916" w:hanging="720"/>
      </w:pPr>
      <w:rPr>
        <w:rFonts w:hint="default"/>
        <w:lang w:val="zh-CN" w:eastAsia="zh-CN" w:bidi="zh-CN"/>
      </w:rPr>
    </w:lvl>
    <w:lvl w:ilvl="7" w:tentative="0">
      <w:start w:val="0"/>
      <w:numFmt w:val="bullet"/>
      <w:lvlText w:val="•"/>
      <w:lvlJc w:val="left"/>
      <w:pPr>
        <w:ind w:left="7778" w:hanging="720"/>
      </w:pPr>
      <w:rPr>
        <w:rFonts w:hint="default"/>
        <w:lang w:val="zh-CN" w:eastAsia="zh-CN" w:bidi="zh-CN"/>
      </w:rPr>
    </w:lvl>
    <w:lvl w:ilvl="8" w:tentative="0">
      <w:start w:val="0"/>
      <w:numFmt w:val="bullet"/>
      <w:lvlText w:val="•"/>
      <w:lvlJc w:val="left"/>
      <w:pPr>
        <w:ind w:left="8641" w:hanging="720"/>
      </w:pPr>
      <w:rPr>
        <w:rFonts w:hint="default"/>
        <w:lang w:val="zh-CN" w:eastAsia="zh-CN" w:bidi="zh-CN"/>
      </w:rPr>
    </w:lvl>
  </w:abstractNum>
  <w:abstractNum w:abstractNumId="69">
    <w:nsid w:val="0258E135"/>
    <w:multiLevelType w:val="multilevel"/>
    <w:tmpl w:val="0258E135"/>
    <w:lvl w:ilvl="0" w:tentative="0">
      <w:start w:val="15"/>
      <w:numFmt w:val="decimal"/>
      <w:lvlText w:val="%1"/>
      <w:lvlJc w:val="left"/>
      <w:pPr>
        <w:ind w:left="540" w:hanging="780"/>
        <w:jc w:val="left"/>
      </w:pPr>
      <w:rPr>
        <w:rFonts w:hint="default"/>
        <w:lang w:val="zh-CN" w:eastAsia="zh-CN" w:bidi="zh-CN"/>
      </w:rPr>
    </w:lvl>
    <w:lvl w:ilvl="1" w:tentative="0">
      <w:start w:val="6"/>
      <w:numFmt w:val="decimal"/>
      <w:lvlText w:val="%1.%2"/>
      <w:lvlJc w:val="left"/>
      <w:pPr>
        <w:ind w:left="540" w:hanging="780"/>
        <w:jc w:val="left"/>
      </w:pPr>
      <w:rPr>
        <w:rFonts w:hint="default"/>
        <w:lang w:val="zh-CN" w:eastAsia="zh-CN" w:bidi="zh-CN"/>
      </w:rPr>
    </w:lvl>
    <w:lvl w:ilvl="2" w:tentative="0">
      <w:start w:val="2"/>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70">
    <w:nsid w:val="025EB27A"/>
    <w:multiLevelType w:val="multilevel"/>
    <w:tmpl w:val="025EB27A"/>
    <w:lvl w:ilvl="0" w:tentative="0">
      <w:start w:val="1"/>
      <w:numFmt w:val="decimal"/>
      <w:lvlText w:val="%1."/>
      <w:lvlJc w:val="left"/>
      <w:pPr>
        <w:ind w:left="1261" w:hanging="241"/>
        <w:jc w:val="left"/>
      </w:pPr>
      <w:rPr>
        <w:rFonts w:hint="default" w:ascii="宋体" w:hAnsi="宋体" w:eastAsia="宋体" w:cs="宋体"/>
        <w:spacing w:val="-1"/>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71">
    <w:nsid w:val="03EF4B97"/>
    <w:multiLevelType w:val="multilevel"/>
    <w:tmpl w:val="03EF4B97"/>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72">
    <w:nsid w:val="07F2E950"/>
    <w:multiLevelType w:val="multilevel"/>
    <w:tmpl w:val="07F2E950"/>
    <w:lvl w:ilvl="0" w:tentative="0">
      <w:start w:val="1"/>
      <w:numFmt w:val="lowerLetter"/>
      <w:lvlText w:val="%1."/>
      <w:lvlJc w:val="left"/>
      <w:pPr>
        <w:ind w:left="78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738" w:hanging="241"/>
      </w:pPr>
      <w:rPr>
        <w:rFonts w:hint="default"/>
        <w:lang w:val="zh-CN" w:eastAsia="zh-CN" w:bidi="zh-CN"/>
      </w:rPr>
    </w:lvl>
    <w:lvl w:ilvl="2" w:tentative="0">
      <w:start w:val="0"/>
      <w:numFmt w:val="bullet"/>
      <w:lvlText w:val="•"/>
      <w:lvlJc w:val="left"/>
      <w:pPr>
        <w:ind w:left="2697" w:hanging="241"/>
      </w:pPr>
      <w:rPr>
        <w:rFonts w:hint="default"/>
        <w:lang w:val="zh-CN" w:eastAsia="zh-CN" w:bidi="zh-CN"/>
      </w:rPr>
    </w:lvl>
    <w:lvl w:ilvl="3" w:tentative="0">
      <w:start w:val="0"/>
      <w:numFmt w:val="bullet"/>
      <w:lvlText w:val="•"/>
      <w:lvlJc w:val="left"/>
      <w:pPr>
        <w:ind w:left="3656" w:hanging="241"/>
      </w:pPr>
      <w:rPr>
        <w:rFonts w:hint="default"/>
        <w:lang w:val="zh-CN" w:eastAsia="zh-CN" w:bidi="zh-CN"/>
      </w:rPr>
    </w:lvl>
    <w:lvl w:ilvl="4" w:tentative="0">
      <w:start w:val="0"/>
      <w:numFmt w:val="bullet"/>
      <w:lvlText w:val="•"/>
      <w:lvlJc w:val="left"/>
      <w:pPr>
        <w:ind w:left="4614" w:hanging="241"/>
      </w:pPr>
      <w:rPr>
        <w:rFonts w:hint="default"/>
        <w:lang w:val="zh-CN" w:eastAsia="zh-CN" w:bidi="zh-CN"/>
      </w:rPr>
    </w:lvl>
    <w:lvl w:ilvl="5" w:tentative="0">
      <w:start w:val="0"/>
      <w:numFmt w:val="bullet"/>
      <w:lvlText w:val="•"/>
      <w:lvlJc w:val="left"/>
      <w:pPr>
        <w:ind w:left="5573" w:hanging="241"/>
      </w:pPr>
      <w:rPr>
        <w:rFonts w:hint="default"/>
        <w:lang w:val="zh-CN" w:eastAsia="zh-CN" w:bidi="zh-CN"/>
      </w:rPr>
    </w:lvl>
    <w:lvl w:ilvl="6" w:tentative="0">
      <w:start w:val="0"/>
      <w:numFmt w:val="bullet"/>
      <w:lvlText w:val="•"/>
      <w:lvlJc w:val="left"/>
      <w:pPr>
        <w:ind w:left="6532" w:hanging="241"/>
      </w:pPr>
      <w:rPr>
        <w:rFonts w:hint="default"/>
        <w:lang w:val="zh-CN" w:eastAsia="zh-CN" w:bidi="zh-CN"/>
      </w:rPr>
    </w:lvl>
    <w:lvl w:ilvl="7" w:tentative="0">
      <w:start w:val="0"/>
      <w:numFmt w:val="bullet"/>
      <w:lvlText w:val="•"/>
      <w:lvlJc w:val="left"/>
      <w:pPr>
        <w:ind w:left="7490" w:hanging="241"/>
      </w:pPr>
      <w:rPr>
        <w:rFonts w:hint="default"/>
        <w:lang w:val="zh-CN" w:eastAsia="zh-CN" w:bidi="zh-CN"/>
      </w:rPr>
    </w:lvl>
    <w:lvl w:ilvl="8" w:tentative="0">
      <w:start w:val="0"/>
      <w:numFmt w:val="bullet"/>
      <w:lvlText w:val="•"/>
      <w:lvlJc w:val="left"/>
      <w:pPr>
        <w:ind w:left="8449" w:hanging="241"/>
      </w:pPr>
      <w:rPr>
        <w:rFonts w:hint="default"/>
        <w:lang w:val="zh-CN" w:eastAsia="zh-CN" w:bidi="zh-CN"/>
      </w:rPr>
    </w:lvl>
  </w:abstractNum>
  <w:abstractNum w:abstractNumId="73">
    <w:nsid w:val="07F5BCC3"/>
    <w:multiLevelType w:val="multilevel"/>
    <w:tmpl w:val="07F5BCC3"/>
    <w:lvl w:ilvl="0" w:tentative="0">
      <w:start w:val="4"/>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3" w:hanging="525"/>
      </w:pPr>
      <w:rPr>
        <w:rFonts w:hint="default"/>
        <w:lang w:val="zh-CN" w:eastAsia="zh-CN" w:bidi="zh-CN"/>
      </w:rPr>
    </w:lvl>
    <w:lvl w:ilvl="6" w:tentative="0">
      <w:start w:val="0"/>
      <w:numFmt w:val="bullet"/>
      <w:lvlText w:val="•"/>
      <w:lvlJc w:val="left"/>
      <w:pPr>
        <w:ind w:left="4284"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74">
    <w:nsid w:val="0C0E1E13"/>
    <w:multiLevelType w:val="multilevel"/>
    <w:tmpl w:val="0C0E1E13"/>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75">
    <w:nsid w:val="0CCB9E98"/>
    <w:multiLevelType w:val="multilevel"/>
    <w:tmpl w:val="0CCB9E98"/>
    <w:lvl w:ilvl="0" w:tentative="0">
      <w:start w:val="14"/>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54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951" w:hanging="540"/>
      </w:pPr>
      <w:rPr>
        <w:rFonts w:hint="default"/>
        <w:lang w:val="zh-CN" w:eastAsia="zh-CN" w:bidi="zh-CN"/>
      </w:rPr>
    </w:lvl>
    <w:lvl w:ilvl="3" w:tentative="0">
      <w:start w:val="0"/>
      <w:numFmt w:val="bullet"/>
      <w:lvlText w:val="•"/>
      <w:lvlJc w:val="left"/>
      <w:pPr>
        <w:ind w:left="3003" w:hanging="540"/>
      </w:pPr>
      <w:rPr>
        <w:rFonts w:hint="default"/>
        <w:lang w:val="zh-CN" w:eastAsia="zh-CN" w:bidi="zh-CN"/>
      </w:rPr>
    </w:lvl>
    <w:lvl w:ilvl="4" w:tentative="0">
      <w:start w:val="0"/>
      <w:numFmt w:val="bullet"/>
      <w:lvlText w:val="•"/>
      <w:lvlJc w:val="left"/>
      <w:pPr>
        <w:ind w:left="4055" w:hanging="540"/>
      </w:pPr>
      <w:rPr>
        <w:rFonts w:hint="default"/>
        <w:lang w:val="zh-CN" w:eastAsia="zh-CN" w:bidi="zh-CN"/>
      </w:rPr>
    </w:lvl>
    <w:lvl w:ilvl="5" w:tentative="0">
      <w:start w:val="0"/>
      <w:numFmt w:val="bullet"/>
      <w:lvlText w:val="•"/>
      <w:lvlJc w:val="left"/>
      <w:pPr>
        <w:ind w:left="5107" w:hanging="540"/>
      </w:pPr>
      <w:rPr>
        <w:rFonts w:hint="default"/>
        <w:lang w:val="zh-CN" w:eastAsia="zh-CN" w:bidi="zh-CN"/>
      </w:rPr>
    </w:lvl>
    <w:lvl w:ilvl="6" w:tentative="0">
      <w:start w:val="0"/>
      <w:numFmt w:val="bullet"/>
      <w:lvlText w:val="•"/>
      <w:lvlJc w:val="left"/>
      <w:pPr>
        <w:ind w:left="6159" w:hanging="540"/>
      </w:pPr>
      <w:rPr>
        <w:rFonts w:hint="default"/>
        <w:lang w:val="zh-CN" w:eastAsia="zh-CN" w:bidi="zh-CN"/>
      </w:rPr>
    </w:lvl>
    <w:lvl w:ilvl="7" w:tentative="0">
      <w:start w:val="0"/>
      <w:numFmt w:val="bullet"/>
      <w:lvlText w:val="•"/>
      <w:lvlJc w:val="left"/>
      <w:pPr>
        <w:ind w:left="7211" w:hanging="540"/>
      </w:pPr>
      <w:rPr>
        <w:rFonts w:hint="default"/>
        <w:lang w:val="zh-CN" w:eastAsia="zh-CN" w:bidi="zh-CN"/>
      </w:rPr>
    </w:lvl>
    <w:lvl w:ilvl="8" w:tentative="0">
      <w:start w:val="0"/>
      <w:numFmt w:val="bullet"/>
      <w:lvlText w:val="•"/>
      <w:lvlJc w:val="left"/>
      <w:pPr>
        <w:ind w:left="8263" w:hanging="540"/>
      </w:pPr>
      <w:rPr>
        <w:rFonts w:hint="default"/>
        <w:lang w:val="zh-CN" w:eastAsia="zh-CN" w:bidi="zh-CN"/>
      </w:rPr>
    </w:lvl>
  </w:abstractNum>
  <w:abstractNum w:abstractNumId="76">
    <w:nsid w:val="0DC629B0"/>
    <w:multiLevelType w:val="multilevel"/>
    <w:tmpl w:val="0DC629B0"/>
    <w:lvl w:ilvl="0" w:tentative="0">
      <w:start w:val="1"/>
      <w:numFmt w:val="decimal"/>
      <w:lvlText w:val="%1."/>
      <w:lvlJc w:val="left"/>
      <w:pPr>
        <w:ind w:left="903" w:hanging="363"/>
        <w:jc w:val="left"/>
      </w:pPr>
      <w:rPr>
        <w:rFonts w:hint="default" w:ascii="宋体" w:hAnsi="宋体" w:eastAsia="宋体" w:cs="宋体"/>
        <w:b/>
        <w:bCs/>
        <w:spacing w:val="0"/>
        <w:w w:val="99"/>
        <w:sz w:val="24"/>
        <w:szCs w:val="24"/>
        <w:lang w:val="zh-CN" w:eastAsia="zh-CN" w:bidi="zh-CN"/>
      </w:rPr>
    </w:lvl>
    <w:lvl w:ilvl="1" w:tentative="0">
      <w:start w:val="1"/>
      <w:numFmt w:val="decimal"/>
      <w:lvlText w:val="%1.%2"/>
      <w:lvlJc w:val="left"/>
      <w:pPr>
        <w:ind w:left="1023" w:hanging="483"/>
        <w:jc w:val="left"/>
      </w:pPr>
      <w:rPr>
        <w:rFonts w:hint="default"/>
        <w:b/>
        <w:bCs/>
        <w:spacing w:val="0"/>
        <w:w w:val="99"/>
        <w:lang w:val="zh-CN" w:eastAsia="zh-CN" w:bidi="zh-CN"/>
      </w:rPr>
    </w:lvl>
    <w:lvl w:ilvl="2" w:tentative="0">
      <w:start w:val="1"/>
      <w:numFmt w:val="decimal"/>
      <w:lvlText w:val="%1.%2.%3"/>
      <w:lvlJc w:val="left"/>
      <w:pPr>
        <w:ind w:left="540" w:hanging="48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020" w:hanging="483"/>
      </w:pPr>
      <w:rPr>
        <w:rFonts w:hint="default"/>
        <w:lang w:val="zh-CN" w:eastAsia="zh-CN" w:bidi="zh-CN"/>
      </w:rPr>
    </w:lvl>
    <w:lvl w:ilvl="4" w:tentative="0">
      <w:start w:val="0"/>
      <w:numFmt w:val="bullet"/>
      <w:lvlText w:val="•"/>
      <w:lvlJc w:val="left"/>
      <w:pPr>
        <w:ind w:left="1740" w:hanging="483"/>
      </w:pPr>
      <w:rPr>
        <w:rFonts w:hint="default"/>
        <w:lang w:val="zh-CN" w:eastAsia="zh-CN" w:bidi="zh-CN"/>
      </w:rPr>
    </w:lvl>
    <w:lvl w:ilvl="5" w:tentative="0">
      <w:start w:val="0"/>
      <w:numFmt w:val="bullet"/>
      <w:lvlText w:val="•"/>
      <w:lvlJc w:val="left"/>
      <w:pPr>
        <w:ind w:left="1840" w:hanging="483"/>
      </w:pPr>
      <w:rPr>
        <w:rFonts w:hint="default"/>
        <w:lang w:val="zh-CN" w:eastAsia="zh-CN" w:bidi="zh-CN"/>
      </w:rPr>
    </w:lvl>
    <w:lvl w:ilvl="6" w:tentative="0">
      <w:start w:val="0"/>
      <w:numFmt w:val="bullet"/>
      <w:lvlText w:val="•"/>
      <w:lvlJc w:val="left"/>
      <w:pPr>
        <w:ind w:left="1860" w:hanging="483"/>
      </w:pPr>
      <w:rPr>
        <w:rFonts w:hint="default"/>
        <w:lang w:val="zh-CN" w:eastAsia="zh-CN" w:bidi="zh-CN"/>
      </w:rPr>
    </w:lvl>
    <w:lvl w:ilvl="7" w:tentative="0">
      <w:start w:val="0"/>
      <w:numFmt w:val="bullet"/>
      <w:lvlText w:val="•"/>
      <w:lvlJc w:val="left"/>
      <w:pPr>
        <w:ind w:left="3986" w:hanging="483"/>
      </w:pPr>
      <w:rPr>
        <w:rFonts w:hint="default"/>
        <w:lang w:val="zh-CN" w:eastAsia="zh-CN" w:bidi="zh-CN"/>
      </w:rPr>
    </w:lvl>
    <w:lvl w:ilvl="8" w:tentative="0">
      <w:start w:val="0"/>
      <w:numFmt w:val="bullet"/>
      <w:lvlText w:val="•"/>
      <w:lvlJc w:val="left"/>
      <w:pPr>
        <w:ind w:left="6113" w:hanging="483"/>
      </w:pPr>
      <w:rPr>
        <w:rFonts w:hint="default"/>
        <w:lang w:val="zh-CN" w:eastAsia="zh-CN" w:bidi="zh-CN"/>
      </w:rPr>
    </w:lvl>
  </w:abstractNum>
  <w:abstractNum w:abstractNumId="77">
    <w:nsid w:val="0F929F01"/>
    <w:multiLevelType w:val="multilevel"/>
    <w:tmpl w:val="0F929F01"/>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78">
    <w:nsid w:val="13660E3F"/>
    <w:multiLevelType w:val="multilevel"/>
    <w:tmpl w:val="13660E3F"/>
    <w:lvl w:ilvl="0" w:tentative="0">
      <w:start w:val="10"/>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11" w:hanging="540"/>
      </w:pPr>
      <w:rPr>
        <w:rFonts w:hint="default"/>
        <w:lang w:val="zh-CN" w:eastAsia="zh-CN" w:bidi="zh-CN"/>
      </w:rPr>
    </w:lvl>
    <w:lvl w:ilvl="3" w:tentative="0">
      <w:start w:val="0"/>
      <w:numFmt w:val="bullet"/>
      <w:lvlText w:val="•"/>
      <w:lvlJc w:val="left"/>
      <w:pPr>
        <w:ind w:left="3143" w:hanging="540"/>
      </w:pPr>
      <w:rPr>
        <w:rFonts w:hint="default"/>
        <w:lang w:val="zh-CN" w:eastAsia="zh-CN" w:bidi="zh-CN"/>
      </w:rPr>
    </w:lvl>
    <w:lvl w:ilvl="4" w:tentative="0">
      <w:start w:val="0"/>
      <w:numFmt w:val="bullet"/>
      <w:lvlText w:val="•"/>
      <w:lvlJc w:val="left"/>
      <w:pPr>
        <w:ind w:left="4175" w:hanging="540"/>
      </w:pPr>
      <w:rPr>
        <w:rFonts w:hint="default"/>
        <w:lang w:val="zh-CN" w:eastAsia="zh-CN" w:bidi="zh-CN"/>
      </w:rPr>
    </w:lvl>
    <w:lvl w:ilvl="5" w:tentative="0">
      <w:start w:val="0"/>
      <w:numFmt w:val="bullet"/>
      <w:lvlText w:val="•"/>
      <w:lvlJc w:val="left"/>
      <w:pPr>
        <w:ind w:left="5207" w:hanging="540"/>
      </w:pPr>
      <w:rPr>
        <w:rFonts w:hint="default"/>
        <w:lang w:val="zh-CN" w:eastAsia="zh-CN" w:bidi="zh-CN"/>
      </w:rPr>
    </w:lvl>
    <w:lvl w:ilvl="6" w:tentative="0">
      <w:start w:val="0"/>
      <w:numFmt w:val="bullet"/>
      <w:lvlText w:val="•"/>
      <w:lvlJc w:val="left"/>
      <w:pPr>
        <w:ind w:left="6239" w:hanging="540"/>
      </w:pPr>
      <w:rPr>
        <w:rFonts w:hint="default"/>
        <w:lang w:val="zh-CN" w:eastAsia="zh-CN" w:bidi="zh-CN"/>
      </w:rPr>
    </w:lvl>
    <w:lvl w:ilvl="7" w:tentative="0">
      <w:start w:val="0"/>
      <w:numFmt w:val="bullet"/>
      <w:lvlText w:val="•"/>
      <w:lvlJc w:val="left"/>
      <w:pPr>
        <w:ind w:left="7271" w:hanging="540"/>
      </w:pPr>
      <w:rPr>
        <w:rFonts w:hint="default"/>
        <w:lang w:val="zh-CN" w:eastAsia="zh-CN" w:bidi="zh-CN"/>
      </w:rPr>
    </w:lvl>
    <w:lvl w:ilvl="8" w:tentative="0">
      <w:start w:val="0"/>
      <w:numFmt w:val="bullet"/>
      <w:lvlText w:val="•"/>
      <w:lvlJc w:val="left"/>
      <w:pPr>
        <w:ind w:left="8303" w:hanging="540"/>
      </w:pPr>
      <w:rPr>
        <w:rFonts w:hint="default"/>
        <w:lang w:val="zh-CN" w:eastAsia="zh-CN" w:bidi="zh-CN"/>
      </w:rPr>
    </w:lvl>
  </w:abstractNum>
  <w:abstractNum w:abstractNumId="79">
    <w:nsid w:val="1483906D"/>
    <w:multiLevelType w:val="multilevel"/>
    <w:tmpl w:val="1483906D"/>
    <w:lvl w:ilvl="0" w:tentative="0">
      <w:start w:val="3"/>
      <w:numFmt w:val="decimal"/>
      <w:lvlText w:val="%1"/>
      <w:lvlJc w:val="left"/>
      <w:pPr>
        <w:ind w:left="1621" w:hanging="601"/>
        <w:jc w:val="left"/>
      </w:pPr>
      <w:rPr>
        <w:rFonts w:hint="default"/>
        <w:lang w:val="zh-CN" w:eastAsia="zh-CN" w:bidi="zh-CN"/>
      </w:rPr>
    </w:lvl>
    <w:lvl w:ilvl="1" w:tentative="0">
      <w:start w:val="1"/>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563" w:hanging="660"/>
      </w:pPr>
      <w:rPr>
        <w:rFonts w:hint="default"/>
        <w:lang w:val="zh-CN" w:eastAsia="zh-CN" w:bidi="zh-CN"/>
      </w:rPr>
    </w:lvl>
    <w:lvl w:ilvl="4" w:tentative="0">
      <w:start w:val="0"/>
      <w:numFmt w:val="bullet"/>
      <w:lvlText w:val="•"/>
      <w:lvlJc w:val="left"/>
      <w:pPr>
        <w:ind w:left="4535" w:hanging="660"/>
      </w:pPr>
      <w:rPr>
        <w:rFonts w:hint="default"/>
        <w:lang w:val="zh-CN" w:eastAsia="zh-CN" w:bidi="zh-CN"/>
      </w:rPr>
    </w:lvl>
    <w:lvl w:ilvl="5" w:tentative="0">
      <w:start w:val="0"/>
      <w:numFmt w:val="bullet"/>
      <w:lvlText w:val="•"/>
      <w:lvlJc w:val="left"/>
      <w:pPr>
        <w:ind w:left="5507" w:hanging="660"/>
      </w:pPr>
      <w:rPr>
        <w:rFonts w:hint="default"/>
        <w:lang w:val="zh-CN" w:eastAsia="zh-CN" w:bidi="zh-CN"/>
      </w:rPr>
    </w:lvl>
    <w:lvl w:ilvl="6" w:tentative="0">
      <w:start w:val="0"/>
      <w:numFmt w:val="bullet"/>
      <w:lvlText w:val="•"/>
      <w:lvlJc w:val="left"/>
      <w:pPr>
        <w:ind w:left="6479" w:hanging="660"/>
      </w:pPr>
      <w:rPr>
        <w:rFonts w:hint="default"/>
        <w:lang w:val="zh-CN" w:eastAsia="zh-CN" w:bidi="zh-CN"/>
      </w:rPr>
    </w:lvl>
    <w:lvl w:ilvl="7" w:tentative="0">
      <w:start w:val="0"/>
      <w:numFmt w:val="bullet"/>
      <w:lvlText w:val="•"/>
      <w:lvlJc w:val="left"/>
      <w:pPr>
        <w:ind w:left="7451" w:hanging="660"/>
      </w:pPr>
      <w:rPr>
        <w:rFonts w:hint="default"/>
        <w:lang w:val="zh-CN" w:eastAsia="zh-CN" w:bidi="zh-CN"/>
      </w:rPr>
    </w:lvl>
    <w:lvl w:ilvl="8" w:tentative="0">
      <w:start w:val="0"/>
      <w:numFmt w:val="bullet"/>
      <w:lvlText w:val="•"/>
      <w:lvlJc w:val="left"/>
      <w:pPr>
        <w:ind w:left="8423" w:hanging="660"/>
      </w:pPr>
      <w:rPr>
        <w:rFonts w:hint="default"/>
        <w:lang w:val="zh-CN" w:eastAsia="zh-CN" w:bidi="zh-CN"/>
      </w:rPr>
    </w:lvl>
  </w:abstractNum>
  <w:abstractNum w:abstractNumId="80">
    <w:nsid w:val="17371721"/>
    <w:multiLevelType w:val="multilevel"/>
    <w:tmpl w:val="17371721"/>
    <w:lvl w:ilvl="0" w:tentative="0">
      <w:start w:val="1"/>
      <w:numFmt w:val="lowerLetter"/>
      <w:lvlText w:val="%1."/>
      <w:lvlJc w:val="left"/>
      <w:pPr>
        <w:ind w:left="540" w:hanging="360"/>
        <w:jc w:val="left"/>
      </w:pPr>
      <w:rPr>
        <w:rFonts w:hint="default" w:ascii="宋体" w:hAnsi="宋体" w:eastAsia="宋体" w:cs="宋体"/>
        <w:w w:val="100"/>
        <w:sz w:val="24"/>
        <w:szCs w:val="24"/>
        <w:lang w:val="zh-CN" w:eastAsia="zh-CN" w:bidi="zh-CN"/>
      </w:rPr>
    </w:lvl>
    <w:lvl w:ilvl="1" w:tentative="0">
      <w:start w:val="0"/>
      <w:numFmt w:val="bullet"/>
      <w:lvlText w:val="•"/>
      <w:lvlJc w:val="left"/>
      <w:pPr>
        <w:ind w:left="1522" w:hanging="360"/>
      </w:pPr>
      <w:rPr>
        <w:rFonts w:hint="default"/>
        <w:lang w:val="zh-CN" w:eastAsia="zh-CN" w:bidi="zh-CN"/>
      </w:rPr>
    </w:lvl>
    <w:lvl w:ilvl="2" w:tentative="0">
      <w:start w:val="0"/>
      <w:numFmt w:val="bullet"/>
      <w:lvlText w:val="•"/>
      <w:lvlJc w:val="left"/>
      <w:pPr>
        <w:ind w:left="2505" w:hanging="360"/>
      </w:pPr>
      <w:rPr>
        <w:rFonts w:hint="default"/>
        <w:lang w:val="zh-CN" w:eastAsia="zh-CN" w:bidi="zh-CN"/>
      </w:rPr>
    </w:lvl>
    <w:lvl w:ilvl="3" w:tentative="0">
      <w:start w:val="0"/>
      <w:numFmt w:val="bullet"/>
      <w:lvlText w:val="•"/>
      <w:lvlJc w:val="left"/>
      <w:pPr>
        <w:ind w:left="3488" w:hanging="360"/>
      </w:pPr>
      <w:rPr>
        <w:rFonts w:hint="default"/>
        <w:lang w:val="zh-CN" w:eastAsia="zh-CN" w:bidi="zh-CN"/>
      </w:rPr>
    </w:lvl>
    <w:lvl w:ilvl="4" w:tentative="0">
      <w:start w:val="0"/>
      <w:numFmt w:val="bullet"/>
      <w:lvlText w:val="•"/>
      <w:lvlJc w:val="left"/>
      <w:pPr>
        <w:ind w:left="4470" w:hanging="360"/>
      </w:pPr>
      <w:rPr>
        <w:rFonts w:hint="default"/>
        <w:lang w:val="zh-CN" w:eastAsia="zh-CN" w:bidi="zh-CN"/>
      </w:rPr>
    </w:lvl>
    <w:lvl w:ilvl="5" w:tentative="0">
      <w:start w:val="0"/>
      <w:numFmt w:val="bullet"/>
      <w:lvlText w:val="•"/>
      <w:lvlJc w:val="left"/>
      <w:pPr>
        <w:ind w:left="5453" w:hanging="360"/>
      </w:pPr>
      <w:rPr>
        <w:rFonts w:hint="default"/>
        <w:lang w:val="zh-CN" w:eastAsia="zh-CN" w:bidi="zh-CN"/>
      </w:rPr>
    </w:lvl>
    <w:lvl w:ilvl="6" w:tentative="0">
      <w:start w:val="0"/>
      <w:numFmt w:val="bullet"/>
      <w:lvlText w:val="•"/>
      <w:lvlJc w:val="left"/>
      <w:pPr>
        <w:ind w:left="6436" w:hanging="360"/>
      </w:pPr>
      <w:rPr>
        <w:rFonts w:hint="default"/>
        <w:lang w:val="zh-CN" w:eastAsia="zh-CN" w:bidi="zh-CN"/>
      </w:rPr>
    </w:lvl>
    <w:lvl w:ilvl="7" w:tentative="0">
      <w:start w:val="0"/>
      <w:numFmt w:val="bullet"/>
      <w:lvlText w:val="•"/>
      <w:lvlJc w:val="left"/>
      <w:pPr>
        <w:ind w:left="7418" w:hanging="360"/>
      </w:pPr>
      <w:rPr>
        <w:rFonts w:hint="default"/>
        <w:lang w:val="zh-CN" w:eastAsia="zh-CN" w:bidi="zh-CN"/>
      </w:rPr>
    </w:lvl>
    <w:lvl w:ilvl="8" w:tentative="0">
      <w:start w:val="0"/>
      <w:numFmt w:val="bullet"/>
      <w:lvlText w:val="•"/>
      <w:lvlJc w:val="left"/>
      <w:pPr>
        <w:ind w:left="8401" w:hanging="360"/>
      </w:pPr>
      <w:rPr>
        <w:rFonts w:hint="default"/>
        <w:lang w:val="zh-CN" w:eastAsia="zh-CN" w:bidi="zh-CN"/>
      </w:rPr>
    </w:lvl>
  </w:abstractNum>
  <w:abstractNum w:abstractNumId="81">
    <w:nsid w:val="192B173A"/>
    <w:multiLevelType w:val="multilevel"/>
    <w:tmpl w:val="192B173A"/>
    <w:lvl w:ilvl="0" w:tentative="0">
      <w:start w:val="13"/>
      <w:numFmt w:val="decimal"/>
      <w:lvlText w:val="%1"/>
      <w:lvlJc w:val="left"/>
      <w:pPr>
        <w:ind w:left="540" w:hanging="780"/>
        <w:jc w:val="left"/>
      </w:pPr>
      <w:rPr>
        <w:rFonts w:hint="default"/>
        <w:lang w:val="zh-CN" w:eastAsia="zh-CN" w:bidi="zh-CN"/>
      </w:rPr>
    </w:lvl>
    <w:lvl w:ilvl="1" w:tentative="0">
      <w:start w:val="1"/>
      <w:numFmt w:val="decimal"/>
      <w:lvlText w:val="%1.%2"/>
      <w:lvlJc w:val="left"/>
      <w:pPr>
        <w:ind w:left="540" w:hanging="780"/>
        <w:jc w:val="left"/>
      </w:pPr>
      <w:rPr>
        <w:rFonts w:hint="default"/>
        <w:lang w:val="zh-CN" w:eastAsia="zh-CN" w:bidi="zh-CN"/>
      </w:rPr>
    </w:lvl>
    <w:lvl w:ilvl="2" w:tentative="0">
      <w:start w:val="4"/>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82">
    <w:nsid w:val="1B3FCE26"/>
    <w:multiLevelType w:val="multilevel"/>
    <w:tmpl w:val="1B3FCE26"/>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abstractNum w:abstractNumId="83">
    <w:nsid w:val="1C01D09A"/>
    <w:multiLevelType w:val="multilevel"/>
    <w:tmpl w:val="1C01D09A"/>
    <w:lvl w:ilvl="0" w:tentative="0">
      <w:start w:val="9"/>
      <w:numFmt w:val="decimal"/>
      <w:lvlText w:val="%1"/>
      <w:lvlJc w:val="left"/>
      <w:pPr>
        <w:ind w:left="1200" w:hanging="660"/>
        <w:jc w:val="left"/>
      </w:pPr>
      <w:rPr>
        <w:rFonts w:hint="default"/>
        <w:lang w:val="zh-CN" w:eastAsia="zh-CN" w:bidi="zh-CN"/>
      </w:rPr>
    </w:lvl>
    <w:lvl w:ilvl="1" w:tentative="0">
      <w:start w:val="4"/>
      <w:numFmt w:val="decimal"/>
      <w:lvlText w:val="%1.%2"/>
      <w:lvlJc w:val="left"/>
      <w:pPr>
        <w:ind w:left="1200" w:hanging="660"/>
        <w:jc w:val="left"/>
      </w:pPr>
      <w:rPr>
        <w:rFonts w:hint="default"/>
        <w:lang w:val="zh-CN" w:eastAsia="zh-CN" w:bidi="zh-CN"/>
      </w:rPr>
    </w:lvl>
    <w:lvl w:ilvl="2" w:tentative="0">
      <w:start w:val="7"/>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950" w:hanging="660"/>
      </w:pPr>
      <w:rPr>
        <w:rFonts w:hint="default"/>
        <w:lang w:val="zh-CN" w:eastAsia="zh-CN" w:bidi="zh-CN"/>
      </w:rPr>
    </w:lvl>
    <w:lvl w:ilvl="4" w:tentative="0">
      <w:start w:val="0"/>
      <w:numFmt w:val="bullet"/>
      <w:lvlText w:val="•"/>
      <w:lvlJc w:val="left"/>
      <w:pPr>
        <w:ind w:left="4866" w:hanging="660"/>
      </w:pPr>
      <w:rPr>
        <w:rFonts w:hint="default"/>
        <w:lang w:val="zh-CN" w:eastAsia="zh-CN" w:bidi="zh-CN"/>
      </w:rPr>
    </w:lvl>
    <w:lvl w:ilvl="5" w:tentative="0">
      <w:start w:val="0"/>
      <w:numFmt w:val="bullet"/>
      <w:lvlText w:val="•"/>
      <w:lvlJc w:val="left"/>
      <w:pPr>
        <w:ind w:left="5783" w:hanging="660"/>
      </w:pPr>
      <w:rPr>
        <w:rFonts w:hint="default"/>
        <w:lang w:val="zh-CN" w:eastAsia="zh-CN" w:bidi="zh-CN"/>
      </w:rPr>
    </w:lvl>
    <w:lvl w:ilvl="6" w:tentative="0">
      <w:start w:val="0"/>
      <w:numFmt w:val="bullet"/>
      <w:lvlText w:val="•"/>
      <w:lvlJc w:val="left"/>
      <w:pPr>
        <w:ind w:left="6700" w:hanging="660"/>
      </w:pPr>
      <w:rPr>
        <w:rFonts w:hint="default"/>
        <w:lang w:val="zh-CN" w:eastAsia="zh-CN" w:bidi="zh-CN"/>
      </w:rPr>
    </w:lvl>
    <w:lvl w:ilvl="7" w:tentative="0">
      <w:start w:val="0"/>
      <w:numFmt w:val="bullet"/>
      <w:lvlText w:val="•"/>
      <w:lvlJc w:val="left"/>
      <w:pPr>
        <w:ind w:left="7616" w:hanging="660"/>
      </w:pPr>
      <w:rPr>
        <w:rFonts w:hint="default"/>
        <w:lang w:val="zh-CN" w:eastAsia="zh-CN" w:bidi="zh-CN"/>
      </w:rPr>
    </w:lvl>
    <w:lvl w:ilvl="8" w:tentative="0">
      <w:start w:val="0"/>
      <w:numFmt w:val="bullet"/>
      <w:lvlText w:val="•"/>
      <w:lvlJc w:val="left"/>
      <w:pPr>
        <w:ind w:left="8533" w:hanging="660"/>
      </w:pPr>
      <w:rPr>
        <w:rFonts w:hint="default"/>
        <w:lang w:val="zh-CN" w:eastAsia="zh-CN" w:bidi="zh-CN"/>
      </w:rPr>
    </w:lvl>
  </w:abstractNum>
  <w:abstractNum w:abstractNumId="84">
    <w:nsid w:val="1DEB737C"/>
    <w:multiLevelType w:val="multilevel"/>
    <w:tmpl w:val="1DEB737C"/>
    <w:lvl w:ilvl="0" w:tentative="0">
      <w:start w:val="24"/>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85">
    <w:nsid w:val="2007DCFD"/>
    <w:multiLevelType w:val="multilevel"/>
    <w:tmpl w:val="2007DCFD"/>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86">
    <w:nsid w:val="227C9188"/>
    <w:multiLevelType w:val="multilevel"/>
    <w:tmpl w:val="227C9188"/>
    <w:lvl w:ilvl="0" w:tentative="0">
      <w:start w:val="5"/>
      <w:numFmt w:val="decimal"/>
      <w:lvlText w:val="%1"/>
      <w:lvlJc w:val="left"/>
      <w:pPr>
        <w:ind w:left="540" w:hanging="420"/>
        <w:jc w:val="left"/>
      </w:pPr>
      <w:rPr>
        <w:rFonts w:hint="default"/>
        <w:lang w:val="zh-CN" w:eastAsia="zh-CN" w:bidi="zh-CN"/>
      </w:rPr>
    </w:lvl>
    <w:lvl w:ilvl="1" w:tentative="0">
      <w:start w:val="1"/>
      <w:numFmt w:val="decimal"/>
      <w:lvlText w:val="%1.%2"/>
      <w:lvlJc w:val="left"/>
      <w:pPr>
        <w:ind w:left="54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505" w:hanging="420"/>
      </w:pPr>
      <w:rPr>
        <w:rFonts w:hint="default"/>
        <w:lang w:val="zh-CN" w:eastAsia="zh-CN" w:bidi="zh-CN"/>
      </w:rPr>
    </w:lvl>
    <w:lvl w:ilvl="3" w:tentative="0">
      <w:start w:val="0"/>
      <w:numFmt w:val="bullet"/>
      <w:lvlText w:val="•"/>
      <w:lvlJc w:val="left"/>
      <w:pPr>
        <w:ind w:left="3488" w:hanging="420"/>
      </w:pPr>
      <w:rPr>
        <w:rFonts w:hint="default"/>
        <w:lang w:val="zh-CN" w:eastAsia="zh-CN" w:bidi="zh-CN"/>
      </w:rPr>
    </w:lvl>
    <w:lvl w:ilvl="4" w:tentative="0">
      <w:start w:val="0"/>
      <w:numFmt w:val="bullet"/>
      <w:lvlText w:val="•"/>
      <w:lvlJc w:val="left"/>
      <w:pPr>
        <w:ind w:left="4470" w:hanging="420"/>
      </w:pPr>
      <w:rPr>
        <w:rFonts w:hint="default"/>
        <w:lang w:val="zh-CN" w:eastAsia="zh-CN" w:bidi="zh-CN"/>
      </w:rPr>
    </w:lvl>
    <w:lvl w:ilvl="5" w:tentative="0">
      <w:start w:val="0"/>
      <w:numFmt w:val="bullet"/>
      <w:lvlText w:val="•"/>
      <w:lvlJc w:val="left"/>
      <w:pPr>
        <w:ind w:left="5453" w:hanging="420"/>
      </w:pPr>
      <w:rPr>
        <w:rFonts w:hint="default"/>
        <w:lang w:val="zh-CN" w:eastAsia="zh-CN" w:bidi="zh-CN"/>
      </w:rPr>
    </w:lvl>
    <w:lvl w:ilvl="6" w:tentative="0">
      <w:start w:val="0"/>
      <w:numFmt w:val="bullet"/>
      <w:lvlText w:val="•"/>
      <w:lvlJc w:val="left"/>
      <w:pPr>
        <w:ind w:left="6436" w:hanging="420"/>
      </w:pPr>
      <w:rPr>
        <w:rFonts w:hint="default"/>
        <w:lang w:val="zh-CN" w:eastAsia="zh-CN" w:bidi="zh-CN"/>
      </w:rPr>
    </w:lvl>
    <w:lvl w:ilvl="7" w:tentative="0">
      <w:start w:val="0"/>
      <w:numFmt w:val="bullet"/>
      <w:lvlText w:val="•"/>
      <w:lvlJc w:val="left"/>
      <w:pPr>
        <w:ind w:left="7418" w:hanging="420"/>
      </w:pPr>
      <w:rPr>
        <w:rFonts w:hint="default"/>
        <w:lang w:val="zh-CN" w:eastAsia="zh-CN" w:bidi="zh-CN"/>
      </w:rPr>
    </w:lvl>
    <w:lvl w:ilvl="8" w:tentative="0">
      <w:start w:val="0"/>
      <w:numFmt w:val="bullet"/>
      <w:lvlText w:val="•"/>
      <w:lvlJc w:val="left"/>
      <w:pPr>
        <w:ind w:left="8401" w:hanging="420"/>
      </w:pPr>
      <w:rPr>
        <w:rFonts w:hint="default"/>
        <w:lang w:val="zh-CN" w:eastAsia="zh-CN" w:bidi="zh-CN"/>
      </w:rPr>
    </w:lvl>
  </w:abstractNum>
  <w:abstractNum w:abstractNumId="87">
    <w:nsid w:val="252BF6AB"/>
    <w:multiLevelType w:val="multilevel"/>
    <w:tmpl w:val="252BF6AB"/>
    <w:lvl w:ilvl="0" w:tentative="0">
      <w:start w:val="1"/>
      <w:numFmt w:val="decimal"/>
      <w:lvlText w:val="（%1）"/>
      <w:lvlJc w:val="left"/>
      <w:pPr>
        <w:ind w:left="13" w:hanging="525"/>
        <w:jc w:val="left"/>
      </w:pPr>
      <w:rPr>
        <w:rFonts w:hint="default" w:ascii="宋体" w:hAnsi="宋体" w:eastAsia="宋体" w:cs="宋体"/>
        <w:spacing w:val="-5"/>
        <w:w w:val="99"/>
        <w:sz w:val="19"/>
        <w:szCs w:val="19"/>
        <w:lang w:val="zh-CN" w:eastAsia="zh-CN" w:bidi="zh-CN"/>
      </w:rPr>
    </w:lvl>
    <w:lvl w:ilvl="1" w:tentative="0">
      <w:start w:val="0"/>
      <w:numFmt w:val="bullet"/>
      <w:lvlText w:val="•"/>
      <w:lvlJc w:val="left"/>
      <w:pPr>
        <w:ind w:left="730" w:hanging="525"/>
      </w:pPr>
      <w:rPr>
        <w:rFonts w:hint="default"/>
        <w:lang w:val="zh-CN" w:eastAsia="zh-CN" w:bidi="zh-CN"/>
      </w:rPr>
    </w:lvl>
    <w:lvl w:ilvl="2" w:tentative="0">
      <w:start w:val="0"/>
      <w:numFmt w:val="bullet"/>
      <w:lvlText w:val="•"/>
      <w:lvlJc w:val="left"/>
      <w:pPr>
        <w:ind w:left="1441" w:hanging="525"/>
      </w:pPr>
      <w:rPr>
        <w:rFonts w:hint="default"/>
        <w:lang w:val="zh-CN" w:eastAsia="zh-CN" w:bidi="zh-CN"/>
      </w:rPr>
    </w:lvl>
    <w:lvl w:ilvl="3" w:tentative="0">
      <w:start w:val="0"/>
      <w:numFmt w:val="bullet"/>
      <w:lvlText w:val="•"/>
      <w:lvlJc w:val="left"/>
      <w:pPr>
        <w:ind w:left="2152" w:hanging="525"/>
      </w:pPr>
      <w:rPr>
        <w:rFonts w:hint="default"/>
        <w:lang w:val="zh-CN" w:eastAsia="zh-CN" w:bidi="zh-CN"/>
      </w:rPr>
    </w:lvl>
    <w:lvl w:ilvl="4" w:tentative="0">
      <w:start w:val="0"/>
      <w:numFmt w:val="bullet"/>
      <w:lvlText w:val="•"/>
      <w:lvlJc w:val="left"/>
      <w:pPr>
        <w:ind w:left="2863" w:hanging="525"/>
      </w:pPr>
      <w:rPr>
        <w:rFonts w:hint="default"/>
        <w:lang w:val="zh-CN" w:eastAsia="zh-CN" w:bidi="zh-CN"/>
      </w:rPr>
    </w:lvl>
    <w:lvl w:ilvl="5" w:tentative="0">
      <w:start w:val="0"/>
      <w:numFmt w:val="bullet"/>
      <w:lvlText w:val="•"/>
      <w:lvlJc w:val="left"/>
      <w:pPr>
        <w:ind w:left="3574" w:hanging="525"/>
      </w:pPr>
      <w:rPr>
        <w:rFonts w:hint="default"/>
        <w:lang w:val="zh-CN" w:eastAsia="zh-CN" w:bidi="zh-CN"/>
      </w:rPr>
    </w:lvl>
    <w:lvl w:ilvl="6" w:tentative="0">
      <w:start w:val="0"/>
      <w:numFmt w:val="bullet"/>
      <w:lvlText w:val="•"/>
      <w:lvlJc w:val="left"/>
      <w:pPr>
        <w:ind w:left="4285" w:hanging="525"/>
      </w:pPr>
      <w:rPr>
        <w:rFonts w:hint="default"/>
        <w:lang w:val="zh-CN" w:eastAsia="zh-CN" w:bidi="zh-CN"/>
      </w:rPr>
    </w:lvl>
    <w:lvl w:ilvl="7" w:tentative="0">
      <w:start w:val="0"/>
      <w:numFmt w:val="bullet"/>
      <w:lvlText w:val="•"/>
      <w:lvlJc w:val="left"/>
      <w:pPr>
        <w:ind w:left="4995" w:hanging="525"/>
      </w:pPr>
      <w:rPr>
        <w:rFonts w:hint="default"/>
        <w:lang w:val="zh-CN" w:eastAsia="zh-CN" w:bidi="zh-CN"/>
      </w:rPr>
    </w:lvl>
    <w:lvl w:ilvl="8" w:tentative="0">
      <w:start w:val="0"/>
      <w:numFmt w:val="bullet"/>
      <w:lvlText w:val="•"/>
      <w:lvlJc w:val="left"/>
      <w:pPr>
        <w:ind w:left="5706" w:hanging="525"/>
      </w:pPr>
      <w:rPr>
        <w:rFonts w:hint="default"/>
        <w:lang w:val="zh-CN" w:eastAsia="zh-CN" w:bidi="zh-CN"/>
      </w:rPr>
    </w:lvl>
  </w:abstractNum>
  <w:abstractNum w:abstractNumId="88">
    <w:nsid w:val="269945CE"/>
    <w:multiLevelType w:val="multilevel"/>
    <w:tmpl w:val="269945CE"/>
    <w:lvl w:ilvl="0" w:tentative="0">
      <w:start w:val="1"/>
      <w:numFmt w:val="decimal"/>
      <w:lvlText w:val="%1."/>
      <w:lvlJc w:val="left"/>
      <w:pPr>
        <w:ind w:left="781" w:hanging="24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200" w:hanging="660"/>
      </w:pPr>
      <w:rPr>
        <w:rFonts w:hint="default"/>
        <w:lang w:val="zh-CN" w:eastAsia="zh-CN" w:bidi="zh-CN"/>
      </w:rPr>
    </w:lvl>
    <w:lvl w:ilvl="4" w:tentative="0">
      <w:start w:val="0"/>
      <w:numFmt w:val="bullet"/>
      <w:lvlText w:val="•"/>
      <w:lvlJc w:val="left"/>
      <w:pPr>
        <w:ind w:left="1620" w:hanging="660"/>
      </w:pPr>
      <w:rPr>
        <w:rFonts w:hint="default"/>
        <w:lang w:val="zh-CN" w:eastAsia="zh-CN" w:bidi="zh-CN"/>
      </w:rPr>
    </w:lvl>
    <w:lvl w:ilvl="5" w:tentative="0">
      <w:start w:val="0"/>
      <w:numFmt w:val="bullet"/>
      <w:lvlText w:val="•"/>
      <w:lvlJc w:val="left"/>
      <w:pPr>
        <w:ind w:left="3077" w:hanging="660"/>
      </w:pPr>
      <w:rPr>
        <w:rFonts w:hint="default"/>
        <w:lang w:val="zh-CN" w:eastAsia="zh-CN" w:bidi="zh-CN"/>
      </w:rPr>
    </w:lvl>
    <w:lvl w:ilvl="6" w:tentative="0">
      <w:start w:val="0"/>
      <w:numFmt w:val="bullet"/>
      <w:lvlText w:val="•"/>
      <w:lvlJc w:val="left"/>
      <w:pPr>
        <w:ind w:left="4535" w:hanging="660"/>
      </w:pPr>
      <w:rPr>
        <w:rFonts w:hint="default"/>
        <w:lang w:val="zh-CN" w:eastAsia="zh-CN" w:bidi="zh-CN"/>
      </w:rPr>
    </w:lvl>
    <w:lvl w:ilvl="7" w:tentative="0">
      <w:start w:val="0"/>
      <w:numFmt w:val="bullet"/>
      <w:lvlText w:val="•"/>
      <w:lvlJc w:val="left"/>
      <w:pPr>
        <w:ind w:left="5993" w:hanging="660"/>
      </w:pPr>
      <w:rPr>
        <w:rFonts w:hint="default"/>
        <w:lang w:val="zh-CN" w:eastAsia="zh-CN" w:bidi="zh-CN"/>
      </w:rPr>
    </w:lvl>
    <w:lvl w:ilvl="8" w:tentative="0">
      <w:start w:val="0"/>
      <w:numFmt w:val="bullet"/>
      <w:lvlText w:val="•"/>
      <w:lvlJc w:val="left"/>
      <w:pPr>
        <w:ind w:left="7451" w:hanging="660"/>
      </w:pPr>
      <w:rPr>
        <w:rFonts w:hint="default"/>
        <w:lang w:val="zh-CN" w:eastAsia="zh-CN" w:bidi="zh-CN"/>
      </w:rPr>
    </w:lvl>
  </w:abstractNum>
  <w:abstractNum w:abstractNumId="89">
    <w:nsid w:val="274D3D9B"/>
    <w:multiLevelType w:val="multilevel"/>
    <w:tmpl w:val="274D3D9B"/>
    <w:lvl w:ilvl="0" w:tentative="0">
      <w:start w:val="4"/>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90">
    <w:nsid w:val="2C9424EE"/>
    <w:multiLevelType w:val="multilevel"/>
    <w:tmpl w:val="2C9424EE"/>
    <w:lvl w:ilvl="0" w:tentative="0">
      <w:start w:val="1"/>
      <w:numFmt w:val="decimal"/>
      <w:lvlText w:val="（%1）"/>
      <w:lvlJc w:val="left"/>
      <w:pPr>
        <w:ind w:left="540"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1">
    <w:nsid w:val="311F749C"/>
    <w:multiLevelType w:val="multilevel"/>
    <w:tmpl w:val="311F749C"/>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92">
    <w:nsid w:val="3287CD95"/>
    <w:multiLevelType w:val="multilevel"/>
    <w:tmpl w:val="3287CD95"/>
    <w:lvl w:ilvl="0" w:tentative="0">
      <w:start w:val="1"/>
      <w:numFmt w:val="decimal"/>
      <w:lvlText w:val="（%1）"/>
      <w:lvlJc w:val="left"/>
      <w:pPr>
        <w:ind w:left="540" w:hanging="601"/>
        <w:jc w:val="left"/>
      </w:pPr>
      <w:rPr>
        <w:rFonts w:hint="default" w:ascii="宋体" w:hAnsi="宋体" w:eastAsia="宋体" w:cs="宋体"/>
        <w:spacing w:val="-15"/>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93">
    <w:nsid w:val="329A4FD1"/>
    <w:multiLevelType w:val="multilevel"/>
    <w:tmpl w:val="329A4FD1"/>
    <w:lvl w:ilvl="0" w:tentative="0">
      <w:start w:val="5"/>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94">
    <w:nsid w:val="333E8B90"/>
    <w:multiLevelType w:val="multilevel"/>
    <w:tmpl w:val="333E8B90"/>
    <w:lvl w:ilvl="0" w:tentative="0">
      <w:start w:val="9"/>
      <w:numFmt w:val="decimal"/>
      <w:lvlText w:val="%1"/>
      <w:lvlJc w:val="left"/>
      <w:pPr>
        <w:ind w:left="540" w:hanging="660"/>
        <w:jc w:val="left"/>
      </w:pPr>
      <w:rPr>
        <w:rFonts w:hint="default"/>
        <w:lang w:val="zh-CN" w:eastAsia="zh-CN" w:bidi="zh-CN"/>
      </w:rPr>
    </w:lvl>
    <w:lvl w:ilvl="1" w:tentative="0">
      <w:start w:val="2"/>
      <w:numFmt w:val="decimal"/>
      <w:lvlText w:val="%1.%2"/>
      <w:lvlJc w:val="left"/>
      <w:pPr>
        <w:ind w:left="540" w:hanging="660"/>
        <w:jc w:val="left"/>
      </w:pPr>
      <w:rPr>
        <w:rFonts w:hint="default"/>
        <w:lang w:val="zh-CN" w:eastAsia="zh-CN" w:bidi="zh-CN"/>
      </w:rPr>
    </w:lvl>
    <w:lvl w:ilvl="2" w:tentative="0">
      <w:start w:val="8"/>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660"/>
      </w:pPr>
      <w:rPr>
        <w:rFonts w:hint="default"/>
        <w:lang w:val="zh-CN" w:eastAsia="zh-CN" w:bidi="zh-CN"/>
      </w:rPr>
    </w:lvl>
    <w:lvl w:ilvl="4" w:tentative="0">
      <w:start w:val="0"/>
      <w:numFmt w:val="bullet"/>
      <w:lvlText w:val="•"/>
      <w:lvlJc w:val="left"/>
      <w:pPr>
        <w:ind w:left="4470" w:hanging="660"/>
      </w:pPr>
      <w:rPr>
        <w:rFonts w:hint="default"/>
        <w:lang w:val="zh-CN" w:eastAsia="zh-CN" w:bidi="zh-CN"/>
      </w:rPr>
    </w:lvl>
    <w:lvl w:ilvl="5" w:tentative="0">
      <w:start w:val="0"/>
      <w:numFmt w:val="bullet"/>
      <w:lvlText w:val="•"/>
      <w:lvlJc w:val="left"/>
      <w:pPr>
        <w:ind w:left="5453" w:hanging="660"/>
      </w:pPr>
      <w:rPr>
        <w:rFonts w:hint="default"/>
        <w:lang w:val="zh-CN" w:eastAsia="zh-CN" w:bidi="zh-CN"/>
      </w:rPr>
    </w:lvl>
    <w:lvl w:ilvl="6" w:tentative="0">
      <w:start w:val="0"/>
      <w:numFmt w:val="bullet"/>
      <w:lvlText w:val="•"/>
      <w:lvlJc w:val="left"/>
      <w:pPr>
        <w:ind w:left="6436" w:hanging="660"/>
      </w:pPr>
      <w:rPr>
        <w:rFonts w:hint="default"/>
        <w:lang w:val="zh-CN" w:eastAsia="zh-CN" w:bidi="zh-CN"/>
      </w:rPr>
    </w:lvl>
    <w:lvl w:ilvl="7" w:tentative="0">
      <w:start w:val="0"/>
      <w:numFmt w:val="bullet"/>
      <w:lvlText w:val="•"/>
      <w:lvlJc w:val="left"/>
      <w:pPr>
        <w:ind w:left="7418" w:hanging="660"/>
      </w:pPr>
      <w:rPr>
        <w:rFonts w:hint="default"/>
        <w:lang w:val="zh-CN" w:eastAsia="zh-CN" w:bidi="zh-CN"/>
      </w:rPr>
    </w:lvl>
    <w:lvl w:ilvl="8" w:tentative="0">
      <w:start w:val="0"/>
      <w:numFmt w:val="bullet"/>
      <w:lvlText w:val="•"/>
      <w:lvlJc w:val="left"/>
      <w:pPr>
        <w:ind w:left="8401" w:hanging="660"/>
      </w:pPr>
      <w:rPr>
        <w:rFonts w:hint="default"/>
        <w:lang w:val="zh-CN" w:eastAsia="zh-CN" w:bidi="zh-CN"/>
      </w:rPr>
    </w:lvl>
  </w:abstractNum>
  <w:abstractNum w:abstractNumId="95">
    <w:nsid w:val="35ECE9CB"/>
    <w:multiLevelType w:val="multilevel"/>
    <w:tmpl w:val="35ECE9CB"/>
    <w:lvl w:ilvl="0" w:tentative="0">
      <w:start w:val="3"/>
      <w:numFmt w:val="decimal"/>
      <w:lvlText w:val="%1"/>
      <w:lvlJc w:val="left"/>
      <w:pPr>
        <w:ind w:left="1621" w:hanging="601"/>
        <w:jc w:val="left"/>
      </w:pPr>
      <w:rPr>
        <w:rFonts w:hint="default"/>
        <w:lang w:val="zh-CN" w:eastAsia="zh-CN" w:bidi="zh-CN"/>
      </w:rPr>
    </w:lvl>
    <w:lvl w:ilvl="1" w:tentative="0">
      <w:start w:val="5"/>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563" w:hanging="660"/>
      </w:pPr>
      <w:rPr>
        <w:rFonts w:hint="default"/>
        <w:lang w:val="zh-CN" w:eastAsia="zh-CN" w:bidi="zh-CN"/>
      </w:rPr>
    </w:lvl>
    <w:lvl w:ilvl="4" w:tentative="0">
      <w:start w:val="0"/>
      <w:numFmt w:val="bullet"/>
      <w:lvlText w:val="•"/>
      <w:lvlJc w:val="left"/>
      <w:pPr>
        <w:ind w:left="4535" w:hanging="660"/>
      </w:pPr>
      <w:rPr>
        <w:rFonts w:hint="default"/>
        <w:lang w:val="zh-CN" w:eastAsia="zh-CN" w:bidi="zh-CN"/>
      </w:rPr>
    </w:lvl>
    <w:lvl w:ilvl="5" w:tentative="0">
      <w:start w:val="0"/>
      <w:numFmt w:val="bullet"/>
      <w:lvlText w:val="•"/>
      <w:lvlJc w:val="left"/>
      <w:pPr>
        <w:ind w:left="5507" w:hanging="660"/>
      </w:pPr>
      <w:rPr>
        <w:rFonts w:hint="default"/>
        <w:lang w:val="zh-CN" w:eastAsia="zh-CN" w:bidi="zh-CN"/>
      </w:rPr>
    </w:lvl>
    <w:lvl w:ilvl="6" w:tentative="0">
      <w:start w:val="0"/>
      <w:numFmt w:val="bullet"/>
      <w:lvlText w:val="•"/>
      <w:lvlJc w:val="left"/>
      <w:pPr>
        <w:ind w:left="6479" w:hanging="660"/>
      </w:pPr>
      <w:rPr>
        <w:rFonts w:hint="default"/>
        <w:lang w:val="zh-CN" w:eastAsia="zh-CN" w:bidi="zh-CN"/>
      </w:rPr>
    </w:lvl>
    <w:lvl w:ilvl="7" w:tentative="0">
      <w:start w:val="0"/>
      <w:numFmt w:val="bullet"/>
      <w:lvlText w:val="•"/>
      <w:lvlJc w:val="left"/>
      <w:pPr>
        <w:ind w:left="7451" w:hanging="660"/>
      </w:pPr>
      <w:rPr>
        <w:rFonts w:hint="default"/>
        <w:lang w:val="zh-CN" w:eastAsia="zh-CN" w:bidi="zh-CN"/>
      </w:rPr>
    </w:lvl>
    <w:lvl w:ilvl="8" w:tentative="0">
      <w:start w:val="0"/>
      <w:numFmt w:val="bullet"/>
      <w:lvlText w:val="•"/>
      <w:lvlJc w:val="left"/>
      <w:pPr>
        <w:ind w:left="8423" w:hanging="660"/>
      </w:pPr>
      <w:rPr>
        <w:rFonts w:hint="default"/>
        <w:lang w:val="zh-CN" w:eastAsia="zh-CN" w:bidi="zh-CN"/>
      </w:rPr>
    </w:lvl>
  </w:abstractNum>
  <w:abstractNum w:abstractNumId="96">
    <w:nsid w:val="3664A4D1"/>
    <w:multiLevelType w:val="multilevel"/>
    <w:tmpl w:val="3664A4D1"/>
    <w:lvl w:ilvl="0" w:tentative="0">
      <w:start w:val="15"/>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330" w:hanging="780"/>
      </w:pPr>
      <w:rPr>
        <w:rFonts w:hint="default"/>
        <w:lang w:val="zh-CN" w:eastAsia="zh-CN" w:bidi="zh-CN"/>
      </w:rPr>
    </w:lvl>
    <w:lvl w:ilvl="4" w:tentative="0">
      <w:start w:val="0"/>
      <w:numFmt w:val="bullet"/>
      <w:lvlText w:val="•"/>
      <w:lvlJc w:val="left"/>
      <w:pPr>
        <w:ind w:left="4335" w:hanging="780"/>
      </w:pPr>
      <w:rPr>
        <w:rFonts w:hint="default"/>
        <w:lang w:val="zh-CN" w:eastAsia="zh-CN" w:bidi="zh-CN"/>
      </w:rPr>
    </w:lvl>
    <w:lvl w:ilvl="5" w:tentative="0">
      <w:start w:val="0"/>
      <w:numFmt w:val="bullet"/>
      <w:lvlText w:val="•"/>
      <w:lvlJc w:val="left"/>
      <w:pPr>
        <w:ind w:left="5340" w:hanging="780"/>
      </w:pPr>
      <w:rPr>
        <w:rFonts w:hint="default"/>
        <w:lang w:val="zh-CN" w:eastAsia="zh-CN" w:bidi="zh-CN"/>
      </w:rPr>
    </w:lvl>
    <w:lvl w:ilvl="6" w:tentative="0">
      <w:start w:val="0"/>
      <w:numFmt w:val="bullet"/>
      <w:lvlText w:val="•"/>
      <w:lvlJc w:val="left"/>
      <w:pPr>
        <w:ind w:left="6346" w:hanging="780"/>
      </w:pPr>
      <w:rPr>
        <w:rFonts w:hint="default"/>
        <w:lang w:val="zh-CN" w:eastAsia="zh-CN" w:bidi="zh-CN"/>
      </w:rPr>
    </w:lvl>
    <w:lvl w:ilvl="7" w:tentative="0">
      <w:start w:val="0"/>
      <w:numFmt w:val="bullet"/>
      <w:lvlText w:val="•"/>
      <w:lvlJc w:val="left"/>
      <w:pPr>
        <w:ind w:left="7351" w:hanging="780"/>
      </w:pPr>
      <w:rPr>
        <w:rFonts w:hint="default"/>
        <w:lang w:val="zh-CN" w:eastAsia="zh-CN" w:bidi="zh-CN"/>
      </w:rPr>
    </w:lvl>
    <w:lvl w:ilvl="8" w:tentative="0">
      <w:start w:val="0"/>
      <w:numFmt w:val="bullet"/>
      <w:lvlText w:val="•"/>
      <w:lvlJc w:val="left"/>
      <w:pPr>
        <w:ind w:left="8356" w:hanging="780"/>
      </w:pPr>
      <w:rPr>
        <w:rFonts w:hint="default"/>
        <w:lang w:val="zh-CN" w:eastAsia="zh-CN" w:bidi="zh-CN"/>
      </w:rPr>
    </w:lvl>
  </w:abstractNum>
  <w:abstractNum w:abstractNumId="97">
    <w:nsid w:val="38EAC418"/>
    <w:multiLevelType w:val="multilevel"/>
    <w:tmpl w:val="38EAC418"/>
    <w:lvl w:ilvl="0" w:tentative="0">
      <w:start w:val="6"/>
      <w:numFmt w:val="decimal"/>
      <w:lvlText w:val="%1."/>
      <w:lvlJc w:val="left"/>
      <w:pPr>
        <w:ind w:left="903" w:hanging="363"/>
        <w:jc w:val="left"/>
      </w:pPr>
      <w:rPr>
        <w:rFonts w:hint="default" w:ascii="宋体" w:hAnsi="宋体" w:eastAsia="宋体" w:cs="宋体"/>
        <w:b/>
        <w:bCs/>
        <w:spacing w:val="0"/>
        <w:w w:val="99"/>
        <w:sz w:val="24"/>
        <w:szCs w:val="24"/>
        <w:lang w:val="zh-CN" w:eastAsia="zh-CN" w:bidi="zh-CN"/>
      </w:rPr>
    </w:lvl>
    <w:lvl w:ilvl="1" w:tentative="0">
      <w:start w:val="1"/>
      <w:numFmt w:val="decimal"/>
      <w:lvlText w:val="%1.%2"/>
      <w:lvlJc w:val="left"/>
      <w:pPr>
        <w:ind w:left="1023" w:hanging="483"/>
        <w:jc w:val="left"/>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540" w:hanging="72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900" w:hanging="720"/>
      </w:pPr>
      <w:rPr>
        <w:rFonts w:hint="default"/>
        <w:lang w:val="zh-CN" w:eastAsia="zh-CN" w:bidi="zh-CN"/>
      </w:rPr>
    </w:lvl>
    <w:lvl w:ilvl="4" w:tentative="0">
      <w:start w:val="0"/>
      <w:numFmt w:val="bullet"/>
      <w:lvlText w:val="•"/>
      <w:lvlJc w:val="left"/>
      <w:pPr>
        <w:ind w:left="1020" w:hanging="720"/>
      </w:pPr>
      <w:rPr>
        <w:rFonts w:hint="default"/>
        <w:lang w:val="zh-CN" w:eastAsia="zh-CN" w:bidi="zh-CN"/>
      </w:rPr>
    </w:lvl>
    <w:lvl w:ilvl="5" w:tentative="0">
      <w:start w:val="0"/>
      <w:numFmt w:val="bullet"/>
      <w:lvlText w:val="•"/>
      <w:lvlJc w:val="left"/>
      <w:pPr>
        <w:ind w:left="1040" w:hanging="720"/>
      </w:pPr>
      <w:rPr>
        <w:rFonts w:hint="default"/>
        <w:lang w:val="zh-CN" w:eastAsia="zh-CN" w:bidi="zh-CN"/>
      </w:rPr>
    </w:lvl>
    <w:lvl w:ilvl="6" w:tentative="0">
      <w:start w:val="0"/>
      <w:numFmt w:val="bullet"/>
      <w:lvlText w:val="•"/>
      <w:lvlJc w:val="left"/>
      <w:pPr>
        <w:ind w:left="2905" w:hanging="720"/>
      </w:pPr>
      <w:rPr>
        <w:rFonts w:hint="default"/>
        <w:lang w:val="zh-CN" w:eastAsia="zh-CN" w:bidi="zh-CN"/>
      </w:rPr>
    </w:lvl>
    <w:lvl w:ilvl="7" w:tentative="0">
      <w:start w:val="0"/>
      <w:numFmt w:val="bullet"/>
      <w:lvlText w:val="•"/>
      <w:lvlJc w:val="left"/>
      <w:pPr>
        <w:ind w:left="4770" w:hanging="720"/>
      </w:pPr>
      <w:rPr>
        <w:rFonts w:hint="default"/>
        <w:lang w:val="zh-CN" w:eastAsia="zh-CN" w:bidi="zh-CN"/>
      </w:rPr>
    </w:lvl>
    <w:lvl w:ilvl="8" w:tentative="0">
      <w:start w:val="0"/>
      <w:numFmt w:val="bullet"/>
      <w:lvlText w:val="•"/>
      <w:lvlJc w:val="left"/>
      <w:pPr>
        <w:ind w:left="6636" w:hanging="720"/>
      </w:pPr>
      <w:rPr>
        <w:rFonts w:hint="default"/>
        <w:lang w:val="zh-CN" w:eastAsia="zh-CN" w:bidi="zh-CN"/>
      </w:rPr>
    </w:lvl>
  </w:abstractNum>
  <w:abstractNum w:abstractNumId="98">
    <w:nsid w:val="3A7FBA26"/>
    <w:multiLevelType w:val="multilevel"/>
    <w:tmpl w:val="3A7FBA26"/>
    <w:lvl w:ilvl="0" w:tentative="0">
      <w:start w:val="0"/>
      <w:numFmt w:val="bullet"/>
      <w:lvlText w:val="■"/>
      <w:lvlJc w:val="left"/>
      <w:pPr>
        <w:ind w:left="351" w:hanging="245"/>
      </w:pPr>
      <w:rPr>
        <w:rFonts w:hint="default" w:ascii="宋体" w:hAnsi="宋体" w:eastAsia="宋体" w:cs="宋体"/>
        <w:spacing w:val="4"/>
        <w:w w:val="100"/>
        <w:sz w:val="22"/>
        <w:szCs w:val="22"/>
        <w:lang w:val="zh-CN" w:eastAsia="zh-CN" w:bidi="zh-CN"/>
      </w:rPr>
    </w:lvl>
    <w:lvl w:ilvl="1" w:tentative="0">
      <w:start w:val="0"/>
      <w:numFmt w:val="bullet"/>
      <w:lvlText w:val="•"/>
      <w:lvlJc w:val="left"/>
      <w:pPr>
        <w:ind w:left="1056" w:hanging="245"/>
      </w:pPr>
      <w:rPr>
        <w:rFonts w:hint="default"/>
        <w:lang w:val="zh-CN" w:eastAsia="zh-CN" w:bidi="zh-CN"/>
      </w:rPr>
    </w:lvl>
    <w:lvl w:ilvl="2" w:tentative="0">
      <w:start w:val="0"/>
      <w:numFmt w:val="bullet"/>
      <w:lvlText w:val="•"/>
      <w:lvlJc w:val="left"/>
      <w:pPr>
        <w:ind w:left="1752" w:hanging="245"/>
      </w:pPr>
      <w:rPr>
        <w:rFonts w:hint="default"/>
        <w:lang w:val="zh-CN" w:eastAsia="zh-CN" w:bidi="zh-CN"/>
      </w:rPr>
    </w:lvl>
    <w:lvl w:ilvl="3" w:tentative="0">
      <w:start w:val="0"/>
      <w:numFmt w:val="bullet"/>
      <w:lvlText w:val="•"/>
      <w:lvlJc w:val="left"/>
      <w:pPr>
        <w:ind w:left="2448" w:hanging="245"/>
      </w:pPr>
      <w:rPr>
        <w:rFonts w:hint="default"/>
        <w:lang w:val="zh-CN" w:eastAsia="zh-CN" w:bidi="zh-CN"/>
      </w:rPr>
    </w:lvl>
    <w:lvl w:ilvl="4" w:tentative="0">
      <w:start w:val="0"/>
      <w:numFmt w:val="bullet"/>
      <w:lvlText w:val="•"/>
      <w:lvlJc w:val="left"/>
      <w:pPr>
        <w:ind w:left="3144" w:hanging="245"/>
      </w:pPr>
      <w:rPr>
        <w:rFonts w:hint="default"/>
        <w:lang w:val="zh-CN" w:eastAsia="zh-CN" w:bidi="zh-CN"/>
      </w:rPr>
    </w:lvl>
    <w:lvl w:ilvl="5" w:tentative="0">
      <w:start w:val="0"/>
      <w:numFmt w:val="bullet"/>
      <w:lvlText w:val="•"/>
      <w:lvlJc w:val="left"/>
      <w:pPr>
        <w:ind w:left="3841" w:hanging="245"/>
      </w:pPr>
      <w:rPr>
        <w:rFonts w:hint="default"/>
        <w:lang w:val="zh-CN" w:eastAsia="zh-CN" w:bidi="zh-CN"/>
      </w:rPr>
    </w:lvl>
    <w:lvl w:ilvl="6" w:tentative="0">
      <w:start w:val="0"/>
      <w:numFmt w:val="bullet"/>
      <w:lvlText w:val="•"/>
      <w:lvlJc w:val="left"/>
      <w:pPr>
        <w:ind w:left="4537" w:hanging="245"/>
      </w:pPr>
      <w:rPr>
        <w:rFonts w:hint="default"/>
        <w:lang w:val="zh-CN" w:eastAsia="zh-CN" w:bidi="zh-CN"/>
      </w:rPr>
    </w:lvl>
    <w:lvl w:ilvl="7" w:tentative="0">
      <w:start w:val="0"/>
      <w:numFmt w:val="bullet"/>
      <w:lvlText w:val="•"/>
      <w:lvlJc w:val="left"/>
      <w:pPr>
        <w:ind w:left="5233" w:hanging="245"/>
      </w:pPr>
      <w:rPr>
        <w:rFonts w:hint="default"/>
        <w:lang w:val="zh-CN" w:eastAsia="zh-CN" w:bidi="zh-CN"/>
      </w:rPr>
    </w:lvl>
    <w:lvl w:ilvl="8" w:tentative="0">
      <w:start w:val="0"/>
      <w:numFmt w:val="bullet"/>
      <w:lvlText w:val="•"/>
      <w:lvlJc w:val="left"/>
      <w:pPr>
        <w:ind w:left="5929" w:hanging="245"/>
      </w:pPr>
      <w:rPr>
        <w:rFonts w:hint="default"/>
        <w:lang w:val="zh-CN" w:eastAsia="zh-CN" w:bidi="zh-CN"/>
      </w:rPr>
    </w:lvl>
  </w:abstractNum>
  <w:abstractNum w:abstractNumId="99">
    <w:nsid w:val="3D950AF9"/>
    <w:multiLevelType w:val="multilevel"/>
    <w:tmpl w:val="3D950AF9"/>
    <w:lvl w:ilvl="0" w:tentative="0">
      <w:start w:val="1"/>
      <w:numFmt w:val="decimal"/>
      <w:lvlText w:val="（%1）"/>
      <w:lvlJc w:val="left"/>
      <w:pPr>
        <w:ind w:left="210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926" w:hanging="601"/>
      </w:pPr>
      <w:rPr>
        <w:rFonts w:hint="default"/>
        <w:lang w:val="zh-CN" w:eastAsia="zh-CN" w:bidi="zh-CN"/>
      </w:rPr>
    </w:lvl>
    <w:lvl w:ilvl="2" w:tentative="0">
      <w:start w:val="0"/>
      <w:numFmt w:val="bullet"/>
      <w:lvlText w:val="•"/>
      <w:lvlJc w:val="left"/>
      <w:pPr>
        <w:ind w:left="3753" w:hanging="601"/>
      </w:pPr>
      <w:rPr>
        <w:rFonts w:hint="default"/>
        <w:lang w:val="zh-CN" w:eastAsia="zh-CN" w:bidi="zh-CN"/>
      </w:rPr>
    </w:lvl>
    <w:lvl w:ilvl="3" w:tentative="0">
      <w:start w:val="0"/>
      <w:numFmt w:val="bullet"/>
      <w:lvlText w:val="•"/>
      <w:lvlJc w:val="left"/>
      <w:pPr>
        <w:ind w:left="4580" w:hanging="601"/>
      </w:pPr>
      <w:rPr>
        <w:rFonts w:hint="default"/>
        <w:lang w:val="zh-CN" w:eastAsia="zh-CN" w:bidi="zh-CN"/>
      </w:rPr>
    </w:lvl>
    <w:lvl w:ilvl="4" w:tentative="0">
      <w:start w:val="0"/>
      <w:numFmt w:val="bullet"/>
      <w:lvlText w:val="•"/>
      <w:lvlJc w:val="left"/>
      <w:pPr>
        <w:ind w:left="5406" w:hanging="601"/>
      </w:pPr>
      <w:rPr>
        <w:rFonts w:hint="default"/>
        <w:lang w:val="zh-CN" w:eastAsia="zh-CN" w:bidi="zh-CN"/>
      </w:rPr>
    </w:lvl>
    <w:lvl w:ilvl="5" w:tentative="0">
      <w:start w:val="0"/>
      <w:numFmt w:val="bullet"/>
      <w:lvlText w:val="•"/>
      <w:lvlJc w:val="left"/>
      <w:pPr>
        <w:ind w:left="6233" w:hanging="601"/>
      </w:pPr>
      <w:rPr>
        <w:rFonts w:hint="default"/>
        <w:lang w:val="zh-CN" w:eastAsia="zh-CN" w:bidi="zh-CN"/>
      </w:rPr>
    </w:lvl>
    <w:lvl w:ilvl="6" w:tentative="0">
      <w:start w:val="0"/>
      <w:numFmt w:val="bullet"/>
      <w:lvlText w:val="•"/>
      <w:lvlJc w:val="left"/>
      <w:pPr>
        <w:ind w:left="7060" w:hanging="601"/>
      </w:pPr>
      <w:rPr>
        <w:rFonts w:hint="default"/>
        <w:lang w:val="zh-CN" w:eastAsia="zh-CN" w:bidi="zh-CN"/>
      </w:rPr>
    </w:lvl>
    <w:lvl w:ilvl="7" w:tentative="0">
      <w:start w:val="0"/>
      <w:numFmt w:val="bullet"/>
      <w:lvlText w:val="•"/>
      <w:lvlJc w:val="left"/>
      <w:pPr>
        <w:ind w:left="7886" w:hanging="601"/>
      </w:pPr>
      <w:rPr>
        <w:rFonts w:hint="default"/>
        <w:lang w:val="zh-CN" w:eastAsia="zh-CN" w:bidi="zh-CN"/>
      </w:rPr>
    </w:lvl>
    <w:lvl w:ilvl="8" w:tentative="0">
      <w:start w:val="0"/>
      <w:numFmt w:val="bullet"/>
      <w:lvlText w:val="•"/>
      <w:lvlJc w:val="left"/>
      <w:pPr>
        <w:ind w:left="8713" w:hanging="601"/>
      </w:pPr>
      <w:rPr>
        <w:rFonts w:hint="default"/>
        <w:lang w:val="zh-CN" w:eastAsia="zh-CN" w:bidi="zh-CN"/>
      </w:rPr>
    </w:lvl>
  </w:abstractNum>
  <w:abstractNum w:abstractNumId="100">
    <w:nsid w:val="3FE315B6"/>
    <w:multiLevelType w:val="multilevel"/>
    <w:tmpl w:val="3FE315B6"/>
    <w:lvl w:ilvl="0" w:tentative="0">
      <w:start w:val="0"/>
      <w:numFmt w:val="bullet"/>
      <w:lvlText w:val="■"/>
      <w:lvlJc w:val="left"/>
      <w:pPr>
        <w:ind w:left="347"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038" w:hanging="241"/>
      </w:pPr>
      <w:rPr>
        <w:rFonts w:hint="default"/>
        <w:lang w:val="zh-CN" w:eastAsia="zh-CN" w:bidi="zh-CN"/>
      </w:rPr>
    </w:lvl>
    <w:lvl w:ilvl="2" w:tentative="0">
      <w:start w:val="0"/>
      <w:numFmt w:val="bullet"/>
      <w:lvlText w:val="•"/>
      <w:lvlJc w:val="left"/>
      <w:pPr>
        <w:ind w:left="1736" w:hanging="241"/>
      </w:pPr>
      <w:rPr>
        <w:rFonts w:hint="default"/>
        <w:lang w:val="zh-CN" w:eastAsia="zh-CN" w:bidi="zh-CN"/>
      </w:rPr>
    </w:lvl>
    <w:lvl w:ilvl="3" w:tentative="0">
      <w:start w:val="0"/>
      <w:numFmt w:val="bullet"/>
      <w:lvlText w:val="•"/>
      <w:lvlJc w:val="left"/>
      <w:pPr>
        <w:ind w:left="2434" w:hanging="241"/>
      </w:pPr>
      <w:rPr>
        <w:rFonts w:hint="default"/>
        <w:lang w:val="zh-CN" w:eastAsia="zh-CN" w:bidi="zh-CN"/>
      </w:rPr>
    </w:lvl>
    <w:lvl w:ilvl="4" w:tentative="0">
      <w:start w:val="0"/>
      <w:numFmt w:val="bullet"/>
      <w:lvlText w:val="•"/>
      <w:lvlJc w:val="left"/>
      <w:pPr>
        <w:ind w:left="3132" w:hanging="241"/>
      </w:pPr>
      <w:rPr>
        <w:rFonts w:hint="default"/>
        <w:lang w:val="zh-CN" w:eastAsia="zh-CN" w:bidi="zh-CN"/>
      </w:rPr>
    </w:lvl>
    <w:lvl w:ilvl="5" w:tentative="0">
      <w:start w:val="0"/>
      <w:numFmt w:val="bullet"/>
      <w:lvlText w:val="•"/>
      <w:lvlJc w:val="left"/>
      <w:pPr>
        <w:ind w:left="3831" w:hanging="241"/>
      </w:pPr>
      <w:rPr>
        <w:rFonts w:hint="default"/>
        <w:lang w:val="zh-CN" w:eastAsia="zh-CN" w:bidi="zh-CN"/>
      </w:rPr>
    </w:lvl>
    <w:lvl w:ilvl="6" w:tentative="0">
      <w:start w:val="0"/>
      <w:numFmt w:val="bullet"/>
      <w:lvlText w:val="•"/>
      <w:lvlJc w:val="left"/>
      <w:pPr>
        <w:ind w:left="4529" w:hanging="241"/>
      </w:pPr>
      <w:rPr>
        <w:rFonts w:hint="default"/>
        <w:lang w:val="zh-CN" w:eastAsia="zh-CN" w:bidi="zh-CN"/>
      </w:rPr>
    </w:lvl>
    <w:lvl w:ilvl="7" w:tentative="0">
      <w:start w:val="0"/>
      <w:numFmt w:val="bullet"/>
      <w:lvlText w:val="•"/>
      <w:lvlJc w:val="left"/>
      <w:pPr>
        <w:ind w:left="5227" w:hanging="241"/>
      </w:pPr>
      <w:rPr>
        <w:rFonts w:hint="default"/>
        <w:lang w:val="zh-CN" w:eastAsia="zh-CN" w:bidi="zh-CN"/>
      </w:rPr>
    </w:lvl>
    <w:lvl w:ilvl="8" w:tentative="0">
      <w:start w:val="0"/>
      <w:numFmt w:val="bullet"/>
      <w:lvlText w:val="•"/>
      <w:lvlJc w:val="left"/>
      <w:pPr>
        <w:ind w:left="5925" w:hanging="241"/>
      </w:pPr>
      <w:rPr>
        <w:rFonts w:hint="default"/>
        <w:lang w:val="zh-CN" w:eastAsia="zh-CN" w:bidi="zh-CN"/>
      </w:rPr>
    </w:lvl>
  </w:abstractNum>
  <w:abstractNum w:abstractNumId="101">
    <w:nsid w:val="408860E8"/>
    <w:multiLevelType w:val="multilevel"/>
    <w:tmpl w:val="408860E8"/>
    <w:lvl w:ilvl="0" w:tentative="0">
      <w:start w:val="2"/>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102">
    <w:nsid w:val="4258023A"/>
    <w:multiLevelType w:val="multilevel"/>
    <w:tmpl w:val="4258023A"/>
    <w:lvl w:ilvl="0" w:tentative="0">
      <w:start w:val="3"/>
      <w:numFmt w:val="decimal"/>
      <w:lvlText w:val="%1"/>
      <w:lvlJc w:val="left"/>
      <w:pPr>
        <w:ind w:left="1899" w:hanging="723"/>
        <w:jc w:val="left"/>
      </w:pPr>
      <w:rPr>
        <w:rFonts w:hint="default"/>
        <w:lang w:val="zh-CN" w:eastAsia="zh-CN" w:bidi="zh-CN"/>
      </w:rPr>
    </w:lvl>
    <w:lvl w:ilvl="1" w:tentative="0">
      <w:start w:val="5"/>
      <w:numFmt w:val="decimal"/>
      <w:lvlText w:val="%1.%2"/>
      <w:lvlJc w:val="left"/>
      <w:pPr>
        <w:ind w:left="1899" w:hanging="723"/>
        <w:jc w:val="left"/>
      </w:pPr>
      <w:rPr>
        <w:rFonts w:hint="default"/>
        <w:lang w:val="zh-CN" w:eastAsia="zh-CN" w:bidi="zh-CN"/>
      </w:rPr>
    </w:lvl>
    <w:lvl w:ilvl="2" w:tentative="0">
      <w:start w:val="2"/>
      <w:numFmt w:val="decimal"/>
      <w:lvlText w:val="%1.%2.%3"/>
      <w:lvlJc w:val="left"/>
      <w:pPr>
        <w:ind w:left="1899" w:hanging="72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4440" w:hanging="723"/>
      </w:pPr>
      <w:rPr>
        <w:rFonts w:hint="default"/>
        <w:lang w:val="zh-CN" w:eastAsia="zh-CN" w:bidi="zh-CN"/>
      </w:rPr>
    </w:lvl>
    <w:lvl w:ilvl="4" w:tentative="0">
      <w:start w:val="0"/>
      <w:numFmt w:val="bullet"/>
      <w:lvlText w:val="•"/>
      <w:lvlJc w:val="left"/>
      <w:pPr>
        <w:ind w:left="5286" w:hanging="723"/>
      </w:pPr>
      <w:rPr>
        <w:rFonts w:hint="default"/>
        <w:lang w:val="zh-CN" w:eastAsia="zh-CN" w:bidi="zh-CN"/>
      </w:rPr>
    </w:lvl>
    <w:lvl w:ilvl="5" w:tentative="0">
      <w:start w:val="0"/>
      <w:numFmt w:val="bullet"/>
      <w:lvlText w:val="•"/>
      <w:lvlJc w:val="left"/>
      <w:pPr>
        <w:ind w:left="6133" w:hanging="723"/>
      </w:pPr>
      <w:rPr>
        <w:rFonts w:hint="default"/>
        <w:lang w:val="zh-CN" w:eastAsia="zh-CN" w:bidi="zh-CN"/>
      </w:rPr>
    </w:lvl>
    <w:lvl w:ilvl="6" w:tentative="0">
      <w:start w:val="0"/>
      <w:numFmt w:val="bullet"/>
      <w:lvlText w:val="•"/>
      <w:lvlJc w:val="left"/>
      <w:pPr>
        <w:ind w:left="6980" w:hanging="723"/>
      </w:pPr>
      <w:rPr>
        <w:rFonts w:hint="default"/>
        <w:lang w:val="zh-CN" w:eastAsia="zh-CN" w:bidi="zh-CN"/>
      </w:rPr>
    </w:lvl>
    <w:lvl w:ilvl="7" w:tentative="0">
      <w:start w:val="0"/>
      <w:numFmt w:val="bullet"/>
      <w:lvlText w:val="•"/>
      <w:lvlJc w:val="left"/>
      <w:pPr>
        <w:ind w:left="7826" w:hanging="723"/>
      </w:pPr>
      <w:rPr>
        <w:rFonts w:hint="default"/>
        <w:lang w:val="zh-CN" w:eastAsia="zh-CN" w:bidi="zh-CN"/>
      </w:rPr>
    </w:lvl>
    <w:lvl w:ilvl="8" w:tentative="0">
      <w:start w:val="0"/>
      <w:numFmt w:val="bullet"/>
      <w:lvlText w:val="•"/>
      <w:lvlJc w:val="left"/>
      <w:pPr>
        <w:ind w:left="8673" w:hanging="723"/>
      </w:pPr>
      <w:rPr>
        <w:rFonts w:hint="default"/>
        <w:lang w:val="zh-CN" w:eastAsia="zh-CN" w:bidi="zh-CN"/>
      </w:rPr>
    </w:lvl>
  </w:abstractNum>
  <w:abstractNum w:abstractNumId="103">
    <w:nsid w:val="429CD0B5"/>
    <w:multiLevelType w:val="multilevel"/>
    <w:tmpl w:val="429CD0B5"/>
    <w:lvl w:ilvl="0" w:tentative="0">
      <w:start w:val="4"/>
      <w:numFmt w:val="decimal"/>
      <w:lvlText w:val="%1"/>
      <w:lvlJc w:val="left"/>
      <w:pPr>
        <w:ind w:left="960" w:hanging="420"/>
        <w:jc w:val="left"/>
      </w:pPr>
      <w:rPr>
        <w:rFonts w:hint="default"/>
        <w:lang w:val="zh-CN" w:eastAsia="zh-CN" w:bidi="zh-CN"/>
      </w:rPr>
    </w:lvl>
    <w:lvl w:ilvl="1" w:tentative="0">
      <w:start w:val="6"/>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104">
    <w:nsid w:val="43D68054"/>
    <w:multiLevelType w:val="multilevel"/>
    <w:tmpl w:val="43D68054"/>
    <w:lvl w:ilvl="0" w:tentative="0">
      <w:start w:val="22"/>
      <w:numFmt w:val="decimal"/>
      <w:lvlText w:val="%1"/>
      <w:lvlJc w:val="left"/>
      <w:pPr>
        <w:ind w:left="1112" w:hanging="572"/>
        <w:jc w:val="left"/>
      </w:pPr>
      <w:rPr>
        <w:rFonts w:hint="default"/>
        <w:lang w:val="zh-CN" w:eastAsia="zh-CN" w:bidi="zh-CN"/>
      </w:rPr>
    </w:lvl>
    <w:lvl w:ilvl="1" w:tentative="0">
      <w:start w:val="1"/>
      <w:numFmt w:val="decimal"/>
      <w:lvlText w:val="%1.%2"/>
      <w:lvlJc w:val="left"/>
      <w:pPr>
        <w:ind w:left="1112" w:hanging="572"/>
        <w:jc w:val="left"/>
      </w:pPr>
      <w:rPr>
        <w:rFonts w:hint="default" w:ascii="宋体" w:hAnsi="宋体" w:eastAsia="宋体" w:cs="宋体"/>
        <w:b/>
        <w:bCs/>
        <w:spacing w:val="0"/>
        <w:w w:val="103"/>
        <w:sz w:val="24"/>
        <w:szCs w:val="24"/>
        <w:lang w:val="zh-CN" w:eastAsia="zh-CN" w:bidi="zh-CN"/>
      </w:rPr>
    </w:lvl>
    <w:lvl w:ilvl="2" w:tentative="0">
      <w:start w:val="0"/>
      <w:numFmt w:val="bullet"/>
      <w:lvlText w:val="•"/>
      <w:lvlJc w:val="left"/>
      <w:pPr>
        <w:ind w:left="2969" w:hanging="572"/>
      </w:pPr>
      <w:rPr>
        <w:rFonts w:hint="default"/>
        <w:lang w:val="zh-CN" w:eastAsia="zh-CN" w:bidi="zh-CN"/>
      </w:rPr>
    </w:lvl>
    <w:lvl w:ilvl="3" w:tentative="0">
      <w:start w:val="0"/>
      <w:numFmt w:val="bullet"/>
      <w:lvlText w:val="•"/>
      <w:lvlJc w:val="left"/>
      <w:pPr>
        <w:ind w:left="3894" w:hanging="572"/>
      </w:pPr>
      <w:rPr>
        <w:rFonts w:hint="default"/>
        <w:lang w:val="zh-CN" w:eastAsia="zh-CN" w:bidi="zh-CN"/>
      </w:rPr>
    </w:lvl>
    <w:lvl w:ilvl="4" w:tentative="0">
      <w:start w:val="0"/>
      <w:numFmt w:val="bullet"/>
      <w:lvlText w:val="•"/>
      <w:lvlJc w:val="left"/>
      <w:pPr>
        <w:ind w:left="4818" w:hanging="572"/>
      </w:pPr>
      <w:rPr>
        <w:rFonts w:hint="default"/>
        <w:lang w:val="zh-CN" w:eastAsia="zh-CN" w:bidi="zh-CN"/>
      </w:rPr>
    </w:lvl>
    <w:lvl w:ilvl="5" w:tentative="0">
      <w:start w:val="0"/>
      <w:numFmt w:val="bullet"/>
      <w:lvlText w:val="•"/>
      <w:lvlJc w:val="left"/>
      <w:pPr>
        <w:ind w:left="5743" w:hanging="572"/>
      </w:pPr>
      <w:rPr>
        <w:rFonts w:hint="default"/>
        <w:lang w:val="zh-CN" w:eastAsia="zh-CN" w:bidi="zh-CN"/>
      </w:rPr>
    </w:lvl>
    <w:lvl w:ilvl="6" w:tentative="0">
      <w:start w:val="0"/>
      <w:numFmt w:val="bullet"/>
      <w:lvlText w:val="•"/>
      <w:lvlJc w:val="left"/>
      <w:pPr>
        <w:ind w:left="6668" w:hanging="572"/>
      </w:pPr>
      <w:rPr>
        <w:rFonts w:hint="default"/>
        <w:lang w:val="zh-CN" w:eastAsia="zh-CN" w:bidi="zh-CN"/>
      </w:rPr>
    </w:lvl>
    <w:lvl w:ilvl="7" w:tentative="0">
      <w:start w:val="0"/>
      <w:numFmt w:val="bullet"/>
      <w:lvlText w:val="•"/>
      <w:lvlJc w:val="left"/>
      <w:pPr>
        <w:ind w:left="7592" w:hanging="572"/>
      </w:pPr>
      <w:rPr>
        <w:rFonts w:hint="default"/>
        <w:lang w:val="zh-CN" w:eastAsia="zh-CN" w:bidi="zh-CN"/>
      </w:rPr>
    </w:lvl>
    <w:lvl w:ilvl="8" w:tentative="0">
      <w:start w:val="0"/>
      <w:numFmt w:val="bullet"/>
      <w:lvlText w:val="•"/>
      <w:lvlJc w:val="left"/>
      <w:pPr>
        <w:ind w:left="8517" w:hanging="572"/>
      </w:pPr>
      <w:rPr>
        <w:rFonts w:hint="default"/>
        <w:lang w:val="zh-CN" w:eastAsia="zh-CN" w:bidi="zh-CN"/>
      </w:rPr>
    </w:lvl>
  </w:abstractNum>
  <w:abstractNum w:abstractNumId="105">
    <w:nsid w:val="446EAEE1"/>
    <w:multiLevelType w:val="multilevel"/>
    <w:tmpl w:val="446EAEE1"/>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06">
    <w:nsid w:val="4AD1D84F"/>
    <w:multiLevelType w:val="multilevel"/>
    <w:tmpl w:val="4AD1D84F"/>
    <w:lvl w:ilvl="0" w:tentative="0">
      <w:start w:val="1"/>
      <w:numFmt w:val="decimal"/>
      <w:lvlText w:val="%1."/>
      <w:lvlJc w:val="left"/>
      <w:pPr>
        <w:ind w:left="138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216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185" w:hanging="660"/>
      </w:pPr>
      <w:rPr>
        <w:rFonts w:hint="default"/>
        <w:lang w:val="zh-CN" w:eastAsia="zh-CN" w:bidi="zh-CN"/>
      </w:rPr>
    </w:lvl>
    <w:lvl w:ilvl="4" w:tentative="0">
      <w:start w:val="0"/>
      <w:numFmt w:val="bullet"/>
      <w:lvlText w:val="•"/>
      <w:lvlJc w:val="left"/>
      <w:pPr>
        <w:ind w:left="4211" w:hanging="660"/>
      </w:pPr>
      <w:rPr>
        <w:rFonts w:hint="default"/>
        <w:lang w:val="zh-CN" w:eastAsia="zh-CN" w:bidi="zh-CN"/>
      </w:rPr>
    </w:lvl>
    <w:lvl w:ilvl="5" w:tentative="0">
      <w:start w:val="0"/>
      <w:numFmt w:val="bullet"/>
      <w:lvlText w:val="•"/>
      <w:lvlJc w:val="left"/>
      <w:pPr>
        <w:ind w:left="5237" w:hanging="660"/>
      </w:pPr>
      <w:rPr>
        <w:rFonts w:hint="default"/>
        <w:lang w:val="zh-CN" w:eastAsia="zh-CN" w:bidi="zh-CN"/>
      </w:rPr>
    </w:lvl>
    <w:lvl w:ilvl="6" w:tentative="0">
      <w:start w:val="0"/>
      <w:numFmt w:val="bullet"/>
      <w:lvlText w:val="•"/>
      <w:lvlJc w:val="left"/>
      <w:pPr>
        <w:ind w:left="6263" w:hanging="660"/>
      </w:pPr>
      <w:rPr>
        <w:rFonts w:hint="default"/>
        <w:lang w:val="zh-CN" w:eastAsia="zh-CN" w:bidi="zh-CN"/>
      </w:rPr>
    </w:lvl>
    <w:lvl w:ilvl="7" w:tentative="0">
      <w:start w:val="0"/>
      <w:numFmt w:val="bullet"/>
      <w:lvlText w:val="•"/>
      <w:lvlJc w:val="left"/>
      <w:pPr>
        <w:ind w:left="7289" w:hanging="660"/>
      </w:pPr>
      <w:rPr>
        <w:rFonts w:hint="default"/>
        <w:lang w:val="zh-CN" w:eastAsia="zh-CN" w:bidi="zh-CN"/>
      </w:rPr>
    </w:lvl>
    <w:lvl w:ilvl="8" w:tentative="0">
      <w:start w:val="0"/>
      <w:numFmt w:val="bullet"/>
      <w:lvlText w:val="•"/>
      <w:lvlJc w:val="left"/>
      <w:pPr>
        <w:ind w:left="8315" w:hanging="660"/>
      </w:pPr>
      <w:rPr>
        <w:rFonts w:hint="default"/>
        <w:lang w:val="zh-CN" w:eastAsia="zh-CN" w:bidi="zh-CN"/>
      </w:rPr>
    </w:lvl>
  </w:abstractNum>
  <w:abstractNum w:abstractNumId="107">
    <w:nsid w:val="4E709187"/>
    <w:multiLevelType w:val="multilevel"/>
    <w:tmpl w:val="4E709187"/>
    <w:lvl w:ilvl="0" w:tentative="0">
      <w:start w:val="17"/>
      <w:numFmt w:val="decimal"/>
      <w:lvlText w:val="%1."/>
      <w:lvlJc w:val="left"/>
      <w:pPr>
        <w:ind w:left="901" w:hanging="361"/>
        <w:jc w:val="left"/>
      </w:pPr>
      <w:rPr>
        <w:rFonts w:hint="default" w:ascii="宋体" w:hAnsi="宋体" w:eastAsia="宋体" w:cs="宋体"/>
        <w:w w:val="100"/>
        <w:sz w:val="22"/>
        <w:szCs w:val="22"/>
        <w:lang w:val="zh-CN" w:eastAsia="zh-CN" w:bidi="zh-CN"/>
      </w:rPr>
    </w:lvl>
    <w:lvl w:ilvl="1" w:tentative="0">
      <w:start w:val="1"/>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32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780"/>
      </w:pPr>
      <w:rPr>
        <w:rFonts w:hint="default"/>
        <w:lang w:val="zh-CN" w:eastAsia="zh-CN" w:bidi="zh-CN"/>
      </w:rPr>
    </w:lvl>
    <w:lvl w:ilvl="4" w:tentative="0">
      <w:start w:val="0"/>
      <w:numFmt w:val="bullet"/>
      <w:lvlText w:val="•"/>
      <w:lvlJc w:val="left"/>
      <w:pPr>
        <w:ind w:left="2612" w:hanging="780"/>
      </w:pPr>
      <w:rPr>
        <w:rFonts w:hint="default"/>
        <w:lang w:val="zh-CN" w:eastAsia="zh-CN" w:bidi="zh-CN"/>
      </w:rPr>
    </w:lvl>
    <w:lvl w:ilvl="5" w:tentative="0">
      <w:start w:val="0"/>
      <w:numFmt w:val="bullet"/>
      <w:lvlText w:val="•"/>
      <w:lvlJc w:val="left"/>
      <w:pPr>
        <w:ind w:left="3904" w:hanging="780"/>
      </w:pPr>
      <w:rPr>
        <w:rFonts w:hint="default"/>
        <w:lang w:val="zh-CN" w:eastAsia="zh-CN" w:bidi="zh-CN"/>
      </w:rPr>
    </w:lvl>
    <w:lvl w:ilvl="6" w:tentative="0">
      <w:start w:val="0"/>
      <w:numFmt w:val="bullet"/>
      <w:lvlText w:val="•"/>
      <w:lvlJc w:val="left"/>
      <w:pPr>
        <w:ind w:left="5197" w:hanging="780"/>
      </w:pPr>
      <w:rPr>
        <w:rFonts w:hint="default"/>
        <w:lang w:val="zh-CN" w:eastAsia="zh-CN" w:bidi="zh-CN"/>
      </w:rPr>
    </w:lvl>
    <w:lvl w:ilvl="7" w:tentative="0">
      <w:start w:val="0"/>
      <w:numFmt w:val="bullet"/>
      <w:lvlText w:val="•"/>
      <w:lvlJc w:val="left"/>
      <w:pPr>
        <w:ind w:left="6489" w:hanging="780"/>
      </w:pPr>
      <w:rPr>
        <w:rFonts w:hint="default"/>
        <w:lang w:val="zh-CN" w:eastAsia="zh-CN" w:bidi="zh-CN"/>
      </w:rPr>
    </w:lvl>
    <w:lvl w:ilvl="8" w:tentative="0">
      <w:start w:val="0"/>
      <w:numFmt w:val="bullet"/>
      <w:lvlText w:val="•"/>
      <w:lvlJc w:val="left"/>
      <w:pPr>
        <w:ind w:left="7782" w:hanging="780"/>
      </w:pPr>
      <w:rPr>
        <w:rFonts w:hint="default"/>
        <w:lang w:val="zh-CN" w:eastAsia="zh-CN" w:bidi="zh-CN"/>
      </w:rPr>
    </w:lvl>
  </w:abstractNum>
  <w:abstractNum w:abstractNumId="108">
    <w:nsid w:val="4EA76503"/>
    <w:multiLevelType w:val="multilevel"/>
    <w:tmpl w:val="4EA76503"/>
    <w:lvl w:ilvl="0" w:tentative="0">
      <w:start w:val="11"/>
      <w:numFmt w:val="decimal"/>
      <w:lvlText w:val="%1"/>
      <w:lvlJc w:val="left"/>
      <w:pPr>
        <w:ind w:left="1080" w:hanging="540"/>
        <w:jc w:val="left"/>
      </w:pPr>
      <w:rPr>
        <w:rFonts w:hint="default"/>
        <w:lang w:val="zh-CN" w:eastAsia="zh-CN" w:bidi="zh-CN"/>
      </w:rPr>
    </w:lvl>
    <w:lvl w:ilvl="1" w:tentative="0">
      <w:start w:val="3"/>
      <w:numFmt w:val="decimal"/>
      <w:lvlText w:val="%1.%2"/>
      <w:lvlJc w:val="left"/>
      <w:pPr>
        <w:ind w:left="1080"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37" w:hanging="540"/>
      </w:pPr>
      <w:rPr>
        <w:rFonts w:hint="default"/>
        <w:lang w:val="zh-CN" w:eastAsia="zh-CN" w:bidi="zh-CN"/>
      </w:rPr>
    </w:lvl>
    <w:lvl w:ilvl="3" w:tentative="0">
      <w:start w:val="0"/>
      <w:numFmt w:val="bullet"/>
      <w:lvlText w:val="•"/>
      <w:lvlJc w:val="left"/>
      <w:pPr>
        <w:ind w:left="3866" w:hanging="540"/>
      </w:pPr>
      <w:rPr>
        <w:rFonts w:hint="default"/>
        <w:lang w:val="zh-CN" w:eastAsia="zh-CN" w:bidi="zh-CN"/>
      </w:rPr>
    </w:lvl>
    <w:lvl w:ilvl="4" w:tentative="0">
      <w:start w:val="0"/>
      <w:numFmt w:val="bullet"/>
      <w:lvlText w:val="•"/>
      <w:lvlJc w:val="left"/>
      <w:pPr>
        <w:ind w:left="4794" w:hanging="540"/>
      </w:pPr>
      <w:rPr>
        <w:rFonts w:hint="default"/>
        <w:lang w:val="zh-CN" w:eastAsia="zh-CN" w:bidi="zh-CN"/>
      </w:rPr>
    </w:lvl>
    <w:lvl w:ilvl="5" w:tentative="0">
      <w:start w:val="0"/>
      <w:numFmt w:val="bullet"/>
      <w:lvlText w:val="•"/>
      <w:lvlJc w:val="left"/>
      <w:pPr>
        <w:ind w:left="5723" w:hanging="540"/>
      </w:pPr>
      <w:rPr>
        <w:rFonts w:hint="default"/>
        <w:lang w:val="zh-CN" w:eastAsia="zh-CN" w:bidi="zh-CN"/>
      </w:rPr>
    </w:lvl>
    <w:lvl w:ilvl="6" w:tentative="0">
      <w:start w:val="0"/>
      <w:numFmt w:val="bullet"/>
      <w:lvlText w:val="•"/>
      <w:lvlJc w:val="left"/>
      <w:pPr>
        <w:ind w:left="6652" w:hanging="540"/>
      </w:pPr>
      <w:rPr>
        <w:rFonts w:hint="default"/>
        <w:lang w:val="zh-CN" w:eastAsia="zh-CN" w:bidi="zh-CN"/>
      </w:rPr>
    </w:lvl>
    <w:lvl w:ilvl="7" w:tentative="0">
      <w:start w:val="0"/>
      <w:numFmt w:val="bullet"/>
      <w:lvlText w:val="•"/>
      <w:lvlJc w:val="left"/>
      <w:pPr>
        <w:ind w:left="7580" w:hanging="540"/>
      </w:pPr>
      <w:rPr>
        <w:rFonts w:hint="default"/>
        <w:lang w:val="zh-CN" w:eastAsia="zh-CN" w:bidi="zh-CN"/>
      </w:rPr>
    </w:lvl>
    <w:lvl w:ilvl="8" w:tentative="0">
      <w:start w:val="0"/>
      <w:numFmt w:val="bullet"/>
      <w:lvlText w:val="•"/>
      <w:lvlJc w:val="left"/>
      <w:pPr>
        <w:ind w:left="8509" w:hanging="540"/>
      </w:pPr>
      <w:rPr>
        <w:rFonts w:hint="default"/>
        <w:lang w:val="zh-CN" w:eastAsia="zh-CN" w:bidi="zh-CN"/>
      </w:rPr>
    </w:lvl>
  </w:abstractNum>
  <w:abstractNum w:abstractNumId="109">
    <w:nsid w:val="4F00C6B4"/>
    <w:multiLevelType w:val="multilevel"/>
    <w:tmpl w:val="4F00C6B4"/>
    <w:lvl w:ilvl="0" w:tentative="0">
      <w:start w:val="1"/>
      <w:numFmt w:val="decimal"/>
      <w:lvlText w:val="（%1）"/>
      <w:lvlJc w:val="left"/>
      <w:pPr>
        <w:ind w:left="540" w:hanging="601"/>
        <w:jc w:val="left"/>
      </w:pPr>
      <w:rPr>
        <w:rFonts w:hint="default" w:ascii="宋体" w:hAnsi="宋体" w:eastAsia="宋体" w:cs="宋体"/>
        <w:spacing w:val="-56"/>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10">
    <w:nsid w:val="4FA7FC34"/>
    <w:multiLevelType w:val="multilevel"/>
    <w:tmpl w:val="4FA7FC34"/>
    <w:lvl w:ilvl="0" w:tentative="0">
      <w:start w:val="3"/>
      <w:numFmt w:val="lowerLetter"/>
      <w:lvlText w:val="%1."/>
      <w:lvlJc w:val="left"/>
      <w:pPr>
        <w:ind w:left="174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602" w:hanging="241"/>
      </w:pPr>
      <w:rPr>
        <w:rFonts w:hint="default"/>
        <w:lang w:val="zh-CN" w:eastAsia="zh-CN" w:bidi="zh-CN"/>
      </w:rPr>
    </w:lvl>
    <w:lvl w:ilvl="2" w:tentative="0">
      <w:start w:val="0"/>
      <w:numFmt w:val="bullet"/>
      <w:lvlText w:val="•"/>
      <w:lvlJc w:val="left"/>
      <w:pPr>
        <w:ind w:left="3465" w:hanging="241"/>
      </w:pPr>
      <w:rPr>
        <w:rFonts w:hint="default"/>
        <w:lang w:val="zh-CN" w:eastAsia="zh-CN" w:bidi="zh-CN"/>
      </w:rPr>
    </w:lvl>
    <w:lvl w:ilvl="3" w:tentative="0">
      <w:start w:val="0"/>
      <w:numFmt w:val="bullet"/>
      <w:lvlText w:val="•"/>
      <w:lvlJc w:val="left"/>
      <w:pPr>
        <w:ind w:left="4328" w:hanging="241"/>
      </w:pPr>
      <w:rPr>
        <w:rFonts w:hint="default"/>
        <w:lang w:val="zh-CN" w:eastAsia="zh-CN" w:bidi="zh-CN"/>
      </w:rPr>
    </w:lvl>
    <w:lvl w:ilvl="4" w:tentative="0">
      <w:start w:val="0"/>
      <w:numFmt w:val="bullet"/>
      <w:lvlText w:val="•"/>
      <w:lvlJc w:val="left"/>
      <w:pPr>
        <w:ind w:left="5190" w:hanging="241"/>
      </w:pPr>
      <w:rPr>
        <w:rFonts w:hint="default"/>
        <w:lang w:val="zh-CN" w:eastAsia="zh-CN" w:bidi="zh-CN"/>
      </w:rPr>
    </w:lvl>
    <w:lvl w:ilvl="5" w:tentative="0">
      <w:start w:val="0"/>
      <w:numFmt w:val="bullet"/>
      <w:lvlText w:val="•"/>
      <w:lvlJc w:val="left"/>
      <w:pPr>
        <w:ind w:left="6053" w:hanging="241"/>
      </w:pPr>
      <w:rPr>
        <w:rFonts w:hint="default"/>
        <w:lang w:val="zh-CN" w:eastAsia="zh-CN" w:bidi="zh-CN"/>
      </w:rPr>
    </w:lvl>
    <w:lvl w:ilvl="6" w:tentative="0">
      <w:start w:val="0"/>
      <w:numFmt w:val="bullet"/>
      <w:lvlText w:val="•"/>
      <w:lvlJc w:val="left"/>
      <w:pPr>
        <w:ind w:left="6916" w:hanging="241"/>
      </w:pPr>
      <w:rPr>
        <w:rFonts w:hint="default"/>
        <w:lang w:val="zh-CN" w:eastAsia="zh-CN" w:bidi="zh-CN"/>
      </w:rPr>
    </w:lvl>
    <w:lvl w:ilvl="7" w:tentative="0">
      <w:start w:val="0"/>
      <w:numFmt w:val="bullet"/>
      <w:lvlText w:val="•"/>
      <w:lvlJc w:val="left"/>
      <w:pPr>
        <w:ind w:left="7778" w:hanging="241"/>
      </w:pPr>
      <w:rPr>
        <w:rFonts w:hint="default"/>
        <w:lang w:val="zh-CN" w:eastAsia="zh-CN" w:bidi="zh-CN"/>
      </w:rPr>
    </w:lvl>
    <w:lvl w:ilvl="8" w:tentative="0">
      <w:start w:val="0"/>
      <w:numFmt w:val="bullet"/>
      <w:lvlText w:val="•"/>
      <w:lvlJc w:val="left"/>
      <w:pPr>
        <w:ind w:left="8641" w:hanging="241"/>
      </w:pPr>
      <w:rPr>
        <w:rFonts w:hint="default"/>
        <w:lang w:val="zh-CN" w:eastAsia="zh-CN" w:bidi="zh-CN"/>
      </w:rPr>
    </w:lvl>
  </w:abstractNum>
  <w:abstractNum w:abstractNumId="111">
    <w:nsid w:val="568750A4"/>
    <w:multiLevelType w:val="multilevel"/>
    <w:tmpl w:val="568750A4"/>
    <w:lvl w:ilvl="0" w:tentative="0">
      <w:start w:val="4"/>
      <w:numFmt w:val="decimal"/>
      <w:lvlText w:val="%1"/>
      <w:lvlJc w:val="left"/>
      <w:pPr>
        <w:ind w:left="540" w:hanging="423"/>
        <w:jc w:val="left"/>
      </w:pPr>
      <w:rPr>
        <w:rFonts w:hint="default"/>
        <w:lang w:val="zh-CN" w:eastAsia="zh-CN" w:bidi="zh-CN"/>
      </w:rPr>
    </w:lvl>
    <w:lvl w:ilvl="1" w:tentative="0">
      <w:start w:val="3"/>
      <w:numFmt w:val="decimal"/>
      <w:lvlText w:val="%1.%2"/>
      <w:lvlJc w:val="left"/>
      <w:pPr>
        <w:ind w:left="540" w:hanging="423"/>
        <w:jc w:val="left"/>
      </w:pPr>
      <w:rPr>
        <w:rFonts w:hint="default" w:ascii="宋体" w:hAnsi="宋体" w:eastAsia="宋体" w:cs="宋体"/>
        <w:b/>
        <w:bCs/>
        <w:spacing w:val="0"/>
        <w:w w:val="99"/>
        <w:sz w:val="24"/>
        <w:szCs w:val="24"/>
        <w:lang w:val="zh-CN" w:eastAsia="zh-CN" w:bidi="zh-CN"/>
      </w:rPr>
    </w:lvl>
    <w:lvl w:ilvl="2" w:tentative="0">
      <w:start w:val="0"/>
      <w:numFmt w:val="bullet"/>
      <w:lvlText w:val="•"/>
      <w:lvlJc w:val="left"/>
      <w:pPr>
        <w:ind w:left="2505" w:hanging="423"/>
      </w:pPr>
      <w:rPr>
        <w:rFonts w:hint="default"/>
        <w:lang w:val="zh-CN" w:eastAsia="zh-CN" w:bidi="zh-CN"/>
      </w:rPr>
    </w:lvl>
    <w:lvl w:ilvl="3" w:tentative="0">
      <w:start w:val="0"/>
      <w:numFmt w:val="bullet"/>
      <w:lvlText w:val="•"/>
      <w:lvlJc w:val="left"/>
      <w:pPr>
        <w:ind w:left="3488" w:hanging="423"/>
      </w:pPr>
      <w:rPr>
        <w:rFonts w:hint="default"/>
        <w:lang w:val="zh-CN" w:eastAsia="zh-CN" w:bidi="zh-CN"/>
      </w:rPr>
    </w:lvl>
    <w:lvl w:ilvl="4" w:tentative="0">
      <w:start w:val="0"/>
      <w:numFmt w:val="bullet"/>
      <w:lvlText w:val="•"/>
      <w:lvlJc w:val="left"/>
      <w:pPr>
        <w:ind w:left="4470" w:hanging="423"/>
      </w:pPr>
      <w:rPr>
        <w:rFonts w:hint="default"/>
        <w:lang w:val="zh-CN" w:eastAsia="zh-CN" w:bidi="zh-CN"/>
      </w:rPr>
    </w:lvl>
    <w:lvl w:ilvl="5" w:tentative="0">
      <w:start w:val="0"/>
      <w:numFmt w:val="bullet"/>
      <w:lvlText w:val="•"/>
      <w:lvlJc w:val="left"/>
      <w:pPr>
        <w:ind w:left="5453" w:hanging="423"/>
      </w:pPr>
      <w:rPr>
        <w:rFonts w:hint="default"/>
        <w:lang w:val="zh-CN" w:eastAsia="zh-CN" w:bidi="zh-CN"/>
      </w:rPr>
    </w:lvl>
    <w:lvl w:ilvl="6" w:tentative="0">
      <w:start w:val="0"/>
      <w:numFmt w:val="bullet"/>
      <w:lvlText w:val="•"/>
      <w:lvlJc w:val="left"/>
      <w:pPr>
        <w:ind w:left="6436" w:hanging="423"/>
      </w:pPr>
      <w:rPr>
        <w:rFonts w:hint="default"/>
        <w:lang w:val="zh-CN" w:eastAsia="zh-CN" w:bidi="zh-CN"/>
      </w:rPr>
    </w:lvl>
    <w:lvl w:ilvl="7" w:tentative="0">
      <w:start w:val="0"/>
      <w:numFmt w:val="bullet"/>
      <w:lvlText w:val="•"/>
      <w:lvlJc w:val="left"/>
      <w:pPr>
        <w:ind w:left="7418" w:hanging="423"/>
      </w:pPr>
      <w:rPr>
        <w:rFonts w:hint="default"/>
        <w:lang w:val="zh-CN" w:eastAsia="zh-CN" w:bidi="zh-CN"/>
      </w:rPr>
    </w:lvl>
    <w:lvl w:ilvl="8" w:tentative="0">
      <w:start w:val="0"/>
      <w:numFmt w:val="bullet"/>
      <w:lvlText w:val="•"/>
      <w:lvlJc w:val="left"/>
      <w:pPr>
        <w:ind w:left="8401" w:hanging="423"/>
      </w:pPr>
      <w:rPr>
        <w:rFonts w:hint="default"/>
        <w:lang w:val="zh-CN" w:eastAsia="zh-CN" w:bidi="zh-CN"/>
      </w:rPr>
    </w:lvl>
  </w:abstractNum>
  <w:abstractNum w:abstractNumId="112">
    <w:nsid w:val="57DED440"/>
    <w:multiLevelType w:val="multilevel"/>
    <w:tmpl w:val="57DED440"/>
    <w:lvl w:ilvl="0" w:tentative="0">
      <w:start w:val="1"/>
      <w:numFmt w:val="decimal"/>
      <w:lvlText w:val="%1."/>
      <w:lvlJc w:val="left"/>
      <w:pPr>
        <w:ind w:left="901" w:hanging="361"/>
        <w:jc w:val="left"/>
      </w:pPr>
      <w:rPr>
        <w:rFonts w:hint="default" w:ascii="宋体" w:hAnsi="宋体" w:eastAsia="宋体" w:cs="宋体"/>
        <w:b/>
        <w:bCs/>
        <w:w w:val="99"/>
        <w:sz w:val="22"/>
        <w:szCs w:val="22"/>
        <w:lang w:val="zh-CN" w:eastAsia="zh-CN" w:bidi="zh-CN"/>
      </w:rPr>
    </w:lvl>
    <w:lvl w:ilvl="1" w:tentative="0">
      <w:start w:val="1"/>
      <w:numFmt w:val="decimal"/>
      <w:lvlText w:val="%1.%2"/>
      <w:lvlJc w:val="left"/>
      <w:pPr>
        <w:ind w:left="540" w:hanging="423"/>
        <w:jc w:val="left"/>
      </w:pPr>
      <w:rPr>
        <w:rFonts w:hint="default"/>
        <w:b/>
        <w:bCs/>
        <w:spacing w:val="0"/>
        <w:w w:val="99"/>
        <w:lang w:val="zh-CN" w:eastAsia="zh-CN" w:bidi="zh-CN"/>
      </w:rPr>
    </w:lvl>
    <w:lvl w:ilvl="2" w:tentative="0">
      <w:start w:val="0"/>
      <w:numFmt w:val="bullet"/>
      <w:lvlText w:val="•"/>
      <w:lvlJc w:val="left"/>
      <w:pPr>
        <w:ind w:left="1500" w:hanging="423"/>
      </w:pPr>
      <w:rPr>
        <w:rFonts w:hint="default"/>
        <w:lang w:val="zh-CN" w:eastAsia="zh-CN" w:bidi="zh-CN"/>
      </w:rPr>
    </w:lvl>
    <w:lvl w:ilvl="3" w:tentative="0">
      <w:start w:val="0"/>
      <w:numFmt w:val="bullet"/>
      <w:lvlText w:val="•"/>
      <w:lvlJc w:val="left"/>
      <w:pPr>
        <w:ind w:left="2608" w:hanging="423"/>
      </w:pPr>
      <w:rPr>
        <w:rFonts w:hint="default"/>
        <w:lang w:val="zh-CN" w:eastAsia="zh-CN" w:bidi="zh-CN"/>
      </w:rPr>
    </w:lvl>
    <w:lvl w:ilvl="4" w:tentative="0">
      <w:start w:val="0"/>
      <w:numFmt w:val="bullet"/>
      <w:lvlText w:val="•"/>
      <w:lvlJc w:val="left"/>
      <w:pPr>
        <w:ind w:left="3716" w:hanging="423"/>
      </w:pPr>
      <w:rPr>
        <w:rFonts w:hint="default"/>
        <w:lang w:val="zh-CN" w:eastAsia="zh-CN" w:bidi="zh-CN"/>
      </w:rPr>
    </w:lvl>
    <w:lvl w:ilvl="5" w:tentative="0">
      <w:start w:val="0"/>
      <w:numFmt w:val="bullet"/>
      <w:lvlText w:val="•"/>
      <w:lvlJc w:val="left"/>
      <w:pPr>
        <w:ind w:left="4825" w:hanging="423"/>
      </w:pPr>
      <w:rPr>
        <w:rFonts w:hint="default"/>
        <w:lang w:val="zh-CN" w:eastAsia="zh-CN" w:bidi="zh-CN"/>
      </w:rPr>
    </w:lvl>
    <w:lvl w:ilvl="6" w:tentative="0">
      <w:start w:val="0"/>
      <w:numFmt w:val="bullet"/>
      <w:lvlText w:val="•"/>
      <w:lvlJc w:val="left"/>
      <w:pPr>
        <w:ind w:left="5933" w:hanging="423"/>
      </w:pPr>
      <w:rPr>
        <w:rFonts w:hint="default"/>
        <w:lang w:val="zh-CN" w:eastAsia="zh-CN" w:bidi="zh-CN"/>
      </w:rPr>
    </w:lvl>
    <w:lvl w:ilvl="7" w:tentative="0">
      <w:start w:val="0"/>
      <w:numFmt w:val="bullet"/>
      <w:lvlText w:val="•"/>
      <w:lvlJc w:val="left"/>
      <w:pPr>
        <w:ind w:left="7041" w:hanging="423"/>
      </w:pPr>
      <w:rPr>
        <w:rFonts w:hint="default"/>
        <w:lang w:val="zh-CN" w:eastAsia="zh-CN" w:bidi="zh-CN"/>
      </w:rPr>
    </w:lvl>
    <w:lvl w:ilvl="8" w:tentative="0">
      <w:start w:val="0"/>
      <w:numFmt w:val="bullet"/>
      <w:lvlText w:val="•"/>
      <w:lvlJc w:val="left"/>
      <w:pPr>
        <w:ind w:left="8150" w:hanging="423"/>
      </w:pPr>
      <w:rPr>
        <w:rFonts w:hint="default"/>
        <w:lang w:val="zh-CN" w:eastAsia="zh-CN" w:bidi="zh-CN"/>
      </w:rPr>
    </w:lvl>
  </w:abstractNum>
  <w:abstractNum w:abstractNumId="113">
    <w:nsid w:val="598DAF6D"/>
    <w:multiLevelType w:val="multilevel"/>
    <w:tmpl w:val="598DAF6D"/>
    <w:lvl w:ilvl="0" w:tentative="0">
      <w:start w:val="1"/>
      <w:numFmt w:val="decimal"/>
      <w:lvlText w:val="%1."/>
      <w:lvlJc w:val="left"/>
      <w:pPr>
        <w:ind w:left="540" w:hanging="241"/>
        <w:jc w:val="left"/>
      </w:pPr>
      <w:rPr>
        <w:rFonts w:hint="default" w:ascii="宋体" w:hAnsi="宋体" w:eastAsia="宋体" w:cs="宋体"/>
        <w:spacing w:val="-1"/>
        <w:w w:val="100"/>
        <w:sz w:val="22"/>
        <w:szCs w:val="22"/>
        <w:lang w:val="zh-CN" w:eastAsia="zh-CN" w:bidi="zh-CN"/>
      </w:rPr>
    </w:lvl>
    <w:lvl w:ilvl="1" w:tentative="0">
      <w:start w:val="0"/>
      <w:numFmt w:val="bullet"/>
      <w:lvlText w:val="•"/>
      <w:lvlJc w:val="left"/>
      <w:pPr>
        <w:ind w:left="1522" w:hanging="241"/>
      </w:pPr>
      <w:rPr>
        <w:rFonts w:hint="default"/>
        <w:lang w:val="zh-CN" w:eastAsia="zh-CN" w:bidi="zh-CN"/>
      </w:rPr>
    </w:lvl>
    <w:lvl w:ilvl="2" w:tentative="0">
      <w:start w:val="0"/>
      <w:numFmt w:val="bullet"/>
      <w:lvlText w:val="•"/>
      <w:lvlJc w:val="left"/>
      <w:pPr>
        <w:ind w:left="2505" w:hanging="241"/>
      </w:pPr>
      <w:rPr>
        <w:rFonts w:hint="default"/>
        <w:lang w:val="zh-CN" w:eastAsia="zh-CN" w:bidi="zh-CN"/>
      </w:rPr>
    </w:lvl>
    <w:lvl w:ilvl="3" w:tentative="0">
      <w:start w:val="0"/>
      <w:numFmt w:val="bullet"/>
      <w:lvlText w:val="•"/>
      <w:lvlJc w:val="left"/>
      <w:pPr>
        <w:ind w:left="3488" w:hanging="241"/>
      </w:pPr>
      <w:rPr>
        <w:rFonts w:hint="default"/>
        <w:lang w:val="zh-CN" w:eastAsia="zh-CN" w:bidi="zh-CN"/>
      </w:rPr>
    </w:lvl>
    <w:lvl w:ilvl="4" w:tentative="0">
      <w:start w:val="0"/>
      <w:numFmt w:val="bullet"/>
      <w:lvlText w:val="•"/>
      <w:lvlJc w:val="left"/>
      <w:pPr>
        <w:ind w:left="4470" w:hanging="241"/>
      </w:pPr>
      <w:rPr>
        <w:rFonts w:hint="default"/>
        <w:lang w:val="zh-CN" w:eastAsia="zh-CN" w:bidi="zh-CN"/>
      </w:rPr>
    </w:lvl>
    <w:lvl w:ilvl="5" w:tentative="0">
      <w:start w:val="0"/>
      <w:numFmt w:val="bullet"/>
      <w:lvlText w:val="•"/>
      <w:lvlJc w:val="left"/>
      <w:pPr>
        <w:ind w:left="5453" w:hanging="241"/>
      </w:pPr>
      <w:rPr>
        <w:rFonts w:hint="default"/>
        <w:lang w:val="zh-CN" w:eastAsia="zh-CN" w:bidi="zh-CN"/>
      </w:rPr>
    </w:lvl>
    <w:lvl w:ilvl="6" w:tentative="0">
      <w:start w:val="0"/>
      <w:numFmt w:val="bullet"/>
      <w:lvlText w:val="•"/>
      <w:lvlJc w:val="left"/>
      <w:pPr>
        <w:ind w:left="6436" w:hanging="241"/>
      </w:pPr>
      <w:rPr>
        <w:rFonts w:hint="default"/>
        <w:lang w:val="zh-CN" w:eastAsia="zh-CN" w:bidi="zh-CN"/>
      </w:rPr>
    </w:lvl>
    <w:lvl w:ilvl="7" w:tentative="0">
      <w:start w:val="0"/>
      <w:numFmt w:val="bullet"/>
      <w:lvlText w:val="•"/>
      <w:lvlJc w:val="left"/>
      <w:pPr>
        <w:ind w:left="7418" w:hanging="241"/>
      </w:pPr>
      <w:rPr>
        <w:rFonts w:hint="default"/>
        <w:lang w:val="zh-CN" w:eastAsia="zh-CN" w:bidi="zh-CN"/>
      </w:rPr>
    </w:lvl>
    <w:lvl w:ilvl="8" w:tentative="0">
      <w:start w:val="0"/>
      <w:numFmt w:val="bullet"/>
      <w:lvlText w:val="•"/>
      <w:lvlJc w:val="left"/>
      <w:pPr>
        <w:ind w:left="8401" w:hanging="241"/>
      </w:pPr>
      <w:rPr>
        <w:rFonts w:hint="default"/>
        <w:lang w:val="zh-CN" w:eastAsia="zh-CN" w:bidi="zh-CN"/>
      </w:rPr>
    </w:lvl>
  </w:abstractNum>
  <w:abstractNum w:abstractNumId="114">
    <w:nsid w:val="5A8377A7"/>
    <w:multiLevelType w:val="multilevel"/>
    <w:tmpl w:val="5A8377A7"/>
    <w:lvl w:ilvl="0" w:tentative="0">
      <w:start w:val="6"/>
      <w:numFmt w:val="decimal"/>
      <w:lvlText w:val="%1"/>
      <w:lvlJc w:val="left"/>
      <w:pPr>
        <w:ind w:left="960" w:hanging="420"/>
        <w:jc w:val="left"/>
      </w:pPr>
      <w:rPr>
        <w:rFonts w:hint="default"/>
        <w:lang w:val="zh-CN" w:eastAsia="zh-CN" w:bidi="zh-CN"/>
      </w:rPr>
    </w:lvl>
    <w:lvl w:ilvl="1" w:tentative="0">
      <w:start w:val="2"/>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41" w:hanging="420"/>
      </w:pPr>
      <w:rPr>
        <w:rFonts w:hint="default"/>
        <w:lang w:val="zh-CN" w:eastAsia="zh-CN" w:bidi="zh-CN"/>
      </w:rPr>
    </w:lvl>
    <w:lvl w:ilvl="3" w:tentative="0">
      <w:start w:val="0"/>
      <w:numFmt w:val="bullet"/>
      <w:lvlText w:val="•"/>
      <w:lvlJc w:val="left"/>
      <w:pPr>
        <w:ind w:left="3782" w:hanging="420"/>
      </w:pPr>
      <w:rPr>
        <w:rFonts w:hint="default"/>
        <w:lang w:val="zh-CN" w:eastAsia="zh-CN" w:bidi="zh-CN"/>
      </w:rPr>
    </w:lvl>
    <w:lvl w:ilvl="4" w:tentative="0">
      <w:start w:val="0"/>
      <w:numFmt w:val="bullet"/>
      <w:lvlText w:val="•"/>
      <w:lvlJc w:val="left"/>
      <w:pPr>
        <w:ind w:left="4722" w:hanging="420"/>
      </w:pPr>
      <w:rPr>
        <w:rFonts w:hint="default"/>
        <w:lang w:val="zh-CN" w:eastAsia="zh-CN" w:bidi="zh-CN"/>
      </w:rPr>
    </w:lvl>
    <w:lvl w:ilvl="5" w:tentative="0">
      <w:start w:val="0"/>
      <w:numFmt w:val="bullet"/>
      <w:lvlText w:val="•"/>
      <w:lvlJc w:val="left"/>
      <w:pPr>
        <w:ind w:left="5663" w:hanging="420"/>
      </w:pPr>
      <w:rPr>
        <w:rFonts w:hint="default"/>
        <w:lang w:val="zh-CN" w:eastAsia="zh-CN" w:bidi="zh-CN"/>
      </w:rPr>
    </w:lvl>
    <w:lvl w:ilvl="6" w:tentative="0">
      <w:start w:val="0"/>
      <w:numFmt w:val="bullet"/>
      <w:lvlText w:val="•"/>
      <w:lvlJc w:val="left"/>
      <w:pPr>
        <w:ind w:left="6604" w:hanging="420"/>
      </w:pPr>
      <w:rPr>
        <w:rFonts w:hint="default"/>
        <w:lang w:val="zh-CN" w:eastAsia="zh-CN" w:bidi="zh-CN"/>
      </w:rPr>
    </w:lvl>
    <w:lvl w:ilvl="7" w:tentative="0">
      <w:start w:val="0"/>
      <w:numFmt w:val="bullet"/>
      <w:lvlText w:val="•"/>
      <w:lvlJc w:val="left"/>
      <w:pPr>
        <w:ind w:left="7544" w:hanging="420"/>
      </w:pPr>
      <w:rPr>
        <w:rFonts w:hint="default"/>
        <w:lang w:val="zh-CN" w:eastAsia="zh-CN" w:bidi="zh-CN"/>
      </w:rPr>
    </w:lvl>
    <w:lvl w:ilvl="8" w:tentative="0">
      <w:start w:val="0"/>
      <w:numFmt w:val="bullet"/>
      <w:lvlText w:val="•"/>
      <w:lvlJc w:val="left"/>
      <w:pPr>
        <w:ind w:left="8485" w:hanging="420"/>
      </w:pPr>
      <w:rPr>
        <w:rFonts w:hint="default"/>
        <w:lang w:val="zh-CN" w:eastAsia="zh-CN" w:bidi="zh-CN"/>
      </w:rPr>
    </w:lvl>
  </w:abstractNum>
  <w:abstractNum w:abstractNumId="115">
    <w:nsid w:val="5F098F1B"/>
    <w:multiLevelType w:val="multilevel"/>
    <w:tmpl w:val="5F098F1B"/>
    <w:lvl w:ilvl="0" w:tentative="0">
      <w:start w:val="6"/>
      <w:numFmt w:val="decimal"/>
      <w:lvlText w:val="%1."/>
      <w:lvlJc w:val="left"/>
      <w:pPr>
        <w:ind w:left="126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70" w:hanging="241"/>
      </w:pPr>
      <w:rPr>
        <w:rFonts w:hint="default"/>
        <w:lang w:val="zh-CN" w:eastAsia="zh-CN" w:bidi="zh-CN"/>
      </w:rPr>
    </w:lvl>
    <w:lvl w:ilvl="2" w:tentative="0">
      <w:start w:val="0"/>
      <w:numFmt w:val="bullet"/>
      <w:lvlText w:val="•"/>
      <w:lvlJc w:val="left"/>
      <w:pPr>
        <w:ind w:left="3081" w:hanging="241"/>
      </w:pPr>
      <w:rPr>
        <w:rFonts w:hint="default"/>
        <w:lang w:val="zh-CN" w:eastAsia="zh-CN" w:bidi="zh-CN"/>
      </w:rPr>
    </w:lvl>
    <w:lvl w:ilvl="3" w:tentative="0">
      <w:start w:val="0"/>
      <w:numFmt w:val="bullet"/>
      <w:lvlText w:val="•"/>
      <w:lvlJc w:val="left"/>
      <w:pPr>
        <w:ind w:left="3992" w:hanging="241"/>
      </w:pPr>
      <w:rPr>
        <w:rFonts w:hint="default"/>
        <w:lang w:val="zh-CN" w:eastAsia="zh-CN" w:bidi="zh-CN"/>
      </w:rPr>
    </w:lvl>
    <w:lvl w:ilvl="4" w:tentative="0">
      <w:start w:val="0"/>
      <w:numFmt w:val="bullet"/>
      <w:lvlText w:val="•"/>
      <w:lvlJc w:val="left"/>
      <w:pPr>
        <w:ind w:left="4902" w:hanging="241"/>
      </w:pPr>
      <w:rPr>
        <w:rFonts w:hint="default"/>
        <w:lang w:val="zh-CN" w:eastAsia="zh-CN" w:bidi="zh-CN"/>
      </w:rPr>
    </w:lvl>
    <w:lvl w:ilvl="5" w:tentative="0">
      <w:start w:val="0"/>
      <w:numFmt w:val="bullet"/>
      <w:lvlText w:val="•"/>
      <w:lvlJc w:val="left"/>
      <w:pPr>
        <w:ind w:left="5813" w:hanging="241"/>
      </w:pPr>
      <w:rPr>
        <w:rFonts w:hint="default"/>
        <w:lang w:val="zh-CN" w:eastAsia="zh-CN" w:bidi="zh-CN"/>
      </w:rPr>
    </w:lvl>
    <w:lvl w:ilvl="6" w:tentative="0">
      <w:start w:val="0"/>
      <w:numFmt w:val="bullet"/>
      <w:lvlText w:val="•"/>
      <w:lvlJc w:val="left"/>
      <w:pPr>
        <w:ind w:left="6724" w:hanging="241"/>
      </w:pPr>
      <w:rPr>
        <w:rFonts w:hint="default"/>
        <w:lang w:val="zh-CN" w:eastAsia="zh-CN" w:bidi="zh-CN"/>
      </w:rPr>
    </w:lvl>
    <w:lvl w:ilvl="7" w:tentative="0">
      <w:start w:val="0"/>
      <w:numFmt w:val="bullet"/>
      <w:lvlText w:val="•"/>
      <w:lvlJc w:val="left"/>
      <w:pPr>
        <w:ind w:left="7634" w:hanging="241"/>
      </w:pPr>
      <w:rPr>
        <w:rFonts w:hint="default"/>
        <w:lang w:val="zh-CN" w:eastAsia="zh-CN" w:bidi="zh-CN"/>
      </w:rPr>
    </w:lvl>
    <w:lvl w:ilvl="8" w:tentative="0">
      <w:start w:val="0"/>
      <w:numFmt w:val="bullet"/>
      <w:lvlText w:val="•"/>
      <w:lvlJc w:val="left"/>
      <w:pPr>
        <w:ind w:left="8545" w:hanging="241"/>
      </w:pPr>
      <w:rPr>
        <w:rFonts w:hint="default"/>
        <w:lang w:val="zh-CN" w:eastAsia="zh-CN" w:bidi="zh-CN"/>
      </w:rPr>
    </w:lvl>
  </w:abstractNum>
  <w:abstractNum w:abstractNumId="116">
    <w:nsid w:val="63B12E74"/>
    <w:multiLevelType w:val="multilevel"/>
    <w:tmpl w:val="63B12E74"/>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17">
    <w:nsid w:val="64C0CB79"/>
    <w:multiLevelType w:val="multilevel"/>
    <w:tmpl w:val="64C0CB79"/>
    <w:lvl w:ilvl="0" w:tentative="0">
      <w:start w:val="4"/>
      <w:numFmt w:val="decimal"/>
      <w:lvlText w:val="%1"/>
      <w:lvlJc w:val="left"/>
      <w:pPr>
        <w:ind w:left="540" w:hanging="780"/>
        <w:jc w:val="left"/>
      </w:pPr>
      <w:rPr>
        <w:rFonts w:hint="default"/>
        <w:lang w:val="zh-CN" w:eastAsia="zh-CN" w:bidi="zh-CN"/>
      </w:rPr>
    </w:lvl>
    <w:lvl w:ilvl="1" w:tentative="0">
      <w:start w:val="11"/>
      <w:numFmt w:val="decimal"/>
      <w:lvlText w:val="%1.%2"/>
      <w:lvlJc w:val="left"/>
      <w:pPr>
        <w:ind w:left="540" w:hanging="780"/>
        <w:jc w:val="left"/>
      </w:pPr>
      <w:rPr>
        <w:rFonts w:hint="default"/>
        <w:lang w:val="zh-CN" w:eastAsia="zh-CN" w:bidi="zh-CN"/>
      </w:rPr>
    </w:lvl>
    <w:lvl w:ilvl="2" w:tentative="0">
      <w:start w:val="2"/>
      <w:numFmt w:val="decimal"/>
      <w:lvlText w:val="%1.%2.%3"/>
      <w:lvlJc w:val="left"/>
      <w:pPr>
        <w:ind w:left="540" w:hanging="78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488" w:hanging="780"/>
      </w:pPr>
      <w:rPr>
        <w:rFonts w:hint="default"/>
        <w:lang w:val="zh-CN" w:eastAsia="zh-CN" w:bidi="zh-CN"/>
      </w:rPr>
    </w:lvl>
    <w:lvl w:ilvl="4" w:tentative="0">
      <w:start w:val="0"/>
      <w:numFmt w:val="bullet"/>
      <w:lvlText w:val="•"/>
      <w:lvlJc w:val="left"/>
      <w:pPr>
        <w:ind w:left="4470" w:hanging="780"/>
      </w:pPr>
      <w:rPr>
        <w:rFonts w:hint="default"/>
        <w:lang w:val="zh-CN" w:eastAsia="zh-CN" w:bidi="zh-CN"/>
      </w:rPr>
    </w:lvl>
    <w:lvl w:ilvl="5" w:tentative="0">
      <w:start w:val="0"/>
      <w:numFmt w:val="bullet"/>
      <w:lvlText w:val="•"/>
      <w:lvlJc w:val="left"/>
      <w:pPr>
        <w:ind w:left="5453" w:hanging="780"/>
      </w:pPr>
      <w:rPr>
        <w:rFonts w:hint="default"/>
        <w:lang w:val="zh-CN" w:eastAsia="zh-CN" w:bidi="zh-CN"/>
      </w:rPr>
    </w:lvl>
    <w:lvl w:ilvl="6" w:tentative="0">
      <w:start w:val="0"/>
      <w:numFmt w:val="bullet"/>
      <w:lvlText w:val="•"/>
      <w:lvlJc w:val="left"/>
      <w:pPr>
        <w:ind w:left="6436" w:hanging="780"/>
      </w:pPr>
      <w:rPr>
        <w:rFonts w:hint="default"/>
        <w:lang w:val="zh-CN" w:eastAsia="zh-CN" w:bidi="zh-CN"/>
      </w:rPr>
    </w:lvl>
    <w:lvl w:ilvl="7" w:tentative="0">
      <w:start w:val="0"/>
      <w:numFmt w:val="bullet"/>
      <w:lvlText w:val="•"/>
      <w:lvlJc w:val="left"/>
      <w:pPr>
        <w:ind w:left="7418" w:hanging="780"/>
      </w:pPr>
      <w:rPr>
        <w:rFonts w:hint="default"/>
        <w:lang w:val="zh-CN" w:eastAsia="zh-CN" w:bidi="zh-CN"/>
      </w:rPr>
    </w:lvl>
    <w:lvl w:ilvl="8" w:tentative="0">
      <w:start w:val="0"/>
      <w:numFmt w:val="bullet"/>
      <w:lvlText w:val="•"/>
      <w:lvlJc w:val="left"/>
      <w:pPr>
        <w:ind w:left="8401" w:hanging="780"/>
      </w:pPr>
      <w:rPr>
        <w:rFonts w:hint="default"/>
        <w:lang w:val="zh-CN" w:eastAsia="zh-CN" w:bidi="zh-CN"/>
      </w:rPr>
    </w:lvl>
  </w:abstractNum>
  <w:abstractNum w:abstractNumId="118">
    <w:nsid w:val="651422BE"/>
    <w:multiLevelType w:val="multilevel"/>
    <w:tmpl w:val="651422BE"/>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19">
    <w:nsid w:val="659EB354"/>
    <w:multiLevelType w:val="multilevel"/>
    <w:tmpl w:val="659EB354"/>
    <w:lvl w:ilvl="0" w:tentative="0">
      <w:start w:val="1"/>
      <w:numFmt w:val="decimal"/>
      <w:lvlText w:val="%1"/>
      <w:lvlJc w:val="left"/>
      <w:pPr>
        <w:ind w:left="960" w:hanging="420"/>
        <w:jc w:val="left"/>
      </w:pPr>
      <w:rPr>
        <w:rFonts w:hint="default"/>
        <w:lang w:val="zh-CN" w:eastAsia="zh-CN" w:bidi="zh-CN"/>
      </w:rPr>
    </w:lvl>
    <w:lvl w:ilvl="1" w:tentative="0">
      <w:start w:val="4"/>
      <w:numFmt w:val="decimal"/>
      <w:lvlText w:val="%1.%2"/>
      <w:lvlJc w:val="left"/>
      <w:pPr>
        <w:ind w:left="960"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237" w:hanging="660"/>
      </w:pPr>
      <w:rPr>
        <w:rFonts w:hint="default"/>
        <w:lang w:val="zh-CN" w:eastAsia="zh-CN" w:bidi="zh-CN"/>
      </w:rPr>
    </w:lvl>
    <w:lvl w:ilvl="4" w:tentative="0">
      <w:start w:val="0"/>
      <w:numFmt w:val="bullet"/>
      <w:lvlText w:val="•"/>
      <w:lvlJc w:val="left"/>
      <w:pPr>
        <w:ind w:left="4255" w:hanging="660"/>
      </w:pPr>
      <w:rPr>
        <w:rFonts w:hint="default"/>
        <w:lang w:val="zh-CN" w:eastAsia="zh-CN" w:bidi="zh-CN"/>
      </w:rPr>
    </w:lvl>
    <w:lvl w:ilvl="5" w:tentative="0">
      <w:start w:val="0"/>
      <w:numFmt w:val="bullet"/>
      <w:lvlText w:val="•"/>
      <w:lvlJc w:val="left"/>
      <w:pPr>
        <w:ind w:left="5274" w:hanging="660"/>
      </w:pPr>
      <w:rPr>
        <w:rFonts w:hint="default"/>
        <w:lang w:val="zh-CN" w:eastAsia="zh-CN" w:bidi="zh-CN"/>
      </w:rPr>
    </w:lvl>
    <w:lvl w:ilvl="6" w:tentative="0">
      <w:start w:val="0"/>
      <w:numFmt w:val="bullet"/>
      <w:lvlText w:val="•"/>
      <w:lvlJc w:val="left"/>
      <w:pPr>
        <w:ind w:left="6292" w:hanging="660"/>
      </w:pPr>
      <w:rPr>
        <w:rFonts w:hint="default"/>
        <w:lang w:val="zh-CN" w:eastAsia="zh-CN" w:bidi="zh-CN"/>
      </w:rPr>
    </w:lvl>
    <w:lvl w:ilvl="7" w:tentative="0">
      <w:start w:val="0"/>
      <w:numFmt w:val="bullet"/>
      <w:lvlText w:val="•"/>
      <w:lvlJc w:val="left"/>
      <w:pPr>
        <w:ind w:left="7311" w:hanging="660"/>
      </w:pPr>
      <w:rPr>
        <w:rFonts w:hint="default"/>
        <w:lang w:val="zh-CN" w:eastAsia="zh-CN" w:bidi="zh-CN"/>
      </w:rPr>
    </w:lvl>
    <w:lvl w:ilvl="8" w:tentative="0">
      <w:start w:val="0"/>
      <w:numFmt w:val="bullet"/>
      <w:lvlText w:val="•"/>
      <w:lvlJc w:val="left"/>
      <w:pPr>
        <w:ind w:left="8329" w:hanging="660"/>
      </w:pPr>
      <w:rPr>
        <w:rFonts w:hint="default"/>
        <w:lang w:val="zh-CN" w:eastAsia="zh-CN" w:bidi="zh-CN"/>
      </w:rPr>
    </w:lvl>
  </w:abstractNum>
  <w:abstractNum w:abstractNumId="120">
    <w:nsid w:val="6AFC2A1C"/>
    <w:multiLevelType w:val="multilevel"/>
    <w:tmpl w:val="6AFC2A1C"/>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21">
    <w:nsid w:val="6C0BE2D1"/>
    <w:multiLevelType w:val="multilevel"/>
    <w:tmpl w:val="6C0BE2D1"/>
    <w:lvl w:ilvl="0" w:tentative="0">
      <w:start w:val="1"/>
      <w:numFmt w:val="decimal"/>
      <w:lvlText w:val="%1"/>
      <w:lvlJc w:val="left"/>
      <w:pPr>
        <w:ind w:left="540" w:hanging="1020"/>
        <w:jc w:val="left"/>
      </w:pPr>
      <w:rPr>
        <w:rFonts w:hint="default"/>
        <w:lang w:val="zh-CN" w:eastAsia="zh-CN" w:bidi="zh-CN"/>
      </w:rPr>
    </w:lvl>
    <w:lvl w:ilvl="1" w:tentative="0">
      <w:start w:val="1"/>
      <w:numFmt w:val="decimal"/>
      <w:lvlText w:val="%1.%2"/>
      <w:lvlJc w:val="left"/>
      <w:pPr>
        <w:ind w:left="540" w:hanging="1020"/>
        <w:jc w:val="left"/>
      </w:pPr>
      <w:rPr>
        <w:rFonts w:hint="default"/>
        <w:lang w:val="zh-CN" w:eastAsia="zh-CN" w:bidi="zh-CN"/>
      </w:rPr>
    </w:lvl>
    <w:lvl w:ilvl="2" w:tentative="0">
      <w:start w:val="3"/>
      <w:numFmt w:val="decimal"/>
      <w:lvlText w:val="%1.%2.%3"/>
      <w:lvlJc w:val="left"/>
      <w:pPr>
        <w:ind w:left="540" w:hanging="1020"/>
        <w:jc w:val="left"/>
      </w:pPr>
      <w:rPr>
        <w:rFonts w:hint="default"/>
        <w:lang w:val="zh-CN" w:eastAsia="zh-CN" w:bidi="zh-CN"/>
      </w:rPr>
    </w:lvl>
    <w:lvl w:ilvl="3" w:tentative="0">
      <w:start w:val="12"/>
      <w:numFmt w:val="decimal"/>
      <w:lvlText w:val="%1.%2.%3.%4"/>
      <w:lvlJc w:val="left"/>
      <w:pPr>
        <w:ind w:left="540" w:hanging="1020"/>
        <w:jc w:val="left"/>
      </w:pPr>
      <w:rPr>
        <w:rFonts w:hint="default" w:ascii="宋体" w:hAnsi="宋体" w:eastAsia="宋体" w:cs="宋体"/>
        <w:w w:val="100"/>
        <w:sz w:val="24"/>
        <w:szCs w:val="24"/>
        <w:lang w:val="zh-CN" w:eastAsia="zh-CN" w:bidi="zh-CN"/>
      </w:rPr>
    </w:lvl>
    <w:lvl w:ilvl="4" w:tentative="0">
      <w:start w:val="0"/>
      <w:numFmt w:val="bullet"/>
      <w:lvlText w:val="•"/>
      <w:lvlJc w:val="left"/>
      <w:pPr>
        <w:ind w:left="4470" w:hanging="1020"/>
      </w:pPr>
      <w:rPr>
        <w:rFonts w:hint="default"/>
        <w:lang w:val="zh-CN" w:eastAsia="zh-CN" w:bidi="zh-CN"/>
      </w:rPr>
    </w:lvl>
    <w:lvl w:ilvl="5" w:tentative="0">
      <w:start w:val="0"/>
      <w:numFmt w:val="bullet"/>
      <w:lvlText w:val="•"/>
      <w:lvlJc w:val="left"/>
      <w:pPr>
        <w:ind w:left="5453" w:hanging="1020"/>
      </w:pPr>
      <w:rPr>
        <w:rFonts w:hint="default"/>
        <w:lang w:val="zh-CN" w:eastAsia="zh-CN" w:bidi="zh-CN"/>
      </w:rPr>
    </w:lvl>
    <w:lvl w:ilvl="6" w:tentative="0">
      <w:start w:val="0"/>
      <w:numFmt w:val="bullet"/>
      <w:lvlText w:val="•"/>
      <w:lvlJc w:val="left"/>
      <w:pPr>
        <w:ind w:left="6436" w:hanging="1020"/>
      </w:pPr>
      <w:rPr>
        <w:rFonts w:hint="default"/>
        <w:lang w:val="zh-CN" w:eastAsia="zh-CN" w:bidi="zh-CN"/>
      </w:rPr>
    </w:lvl>
    <w:lvl w:ilvl="7" w:tentative="0">
      <w:start w:val="0"/>
      <w:numFmt w:val="bullet"/>
      <w:lvlText w:val="•"/>
      <w:lvlJc w:val="left"/>
      <w:pPr>
        <w:ind w:left="7418" w:hanging="1020"/>
      </w:pPr>
      <w:rPr>
        <w:rFonts w:hint="default"/>
        <w:lang w:val="zh-CN" w:eastAsia="zh-CN" w:bidi="zh-CN"/>
      </w:rPr>
    </w:lvl>
    <w:lvl w:ilvl="8" w:tentative="0">
      <w:start w:val="0"/>
      <w:numFmt w:val="bullet"/>
      <w:lvlText w:val="•"/>
      <w:lvlJc w:val="left"/>
      <w:pPr>
        <w:ind w:left="8401" w:hanging="1020"/>
      </w:pPr>
      <w:rPr>
        <w:rFonts w:hint="default"/>
        <w:lang w:val="zh-CN" w:eastAsia="zh-CN" w:bidi="zh-CN"/>
      </w:rPr>
    </w:lvl>
  </w:abstractNum>
  <w:abstractNum w:abstractNumId="122">
    <w:nsid w:val="6D423078"/>
    <w:multiLevelType w:val="multilevel"/>
    <w:tmpl w:val="6D423078"/>
    <w:lvl w:ilvl="0" w:tentative="0">
      <w:start w:val="1"/>
      <w:numFmt w:val="decimal"/>
      <w:lvlText w:val="（%1）"/>
      <w:lvlJc w:val="left"/>
      <w:pPr>
        <w:ind w:left="162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94" w:hanging="601"/>
      </w:pPr>
      <w:rPr>
        <w:rFonts w:hint="default"/>
        <w:lang w:val="zh-CN" w:eastAsia="zh-CN" w:bidi="zh-CN"/>
      </w:rPr>
    </w:lvl>
    <w:lvl w:ilvl="2" w:tentative="0">
      <w:start w:val="0"/>
      <w:numFmt w:val="bullet"/>
      <w:lvlText w:val="•"/>
      <w:lvlJc w:val="left"/>
      <w:pPr>
        <w:ind w:left="3369" w:hanging="601"/>
      </w:pPr>
      <w:rPr>
        <w:rFonts w:hint="default"/>
        <w:lang w:val="zh-CN" w:eastAsia="zh-CN" w:bidi="zh-CN"/>
      </w:rPr>
    </w:lvl>
    <w:lvl w:ilvl="3" w:tentative="0">
      <w:start w:val="0"/>
      <w:numFmt w:val="bullet"/>
      <w:lvlText w:val="•"/>
      <w:lvlJc w:val="left"/>
      <w:pPr>
        <w:ind w:left="4244" w:hanging="601"/>
      </w:pPr>
      <w:rPr>
        <w:rFonts w:hint="default"/>
        <w:lang w:val="zh-CN" w:eastAsia="zh-CN" w:bidi="zh-CN"/>
      </w:rPr>
    </w:lvl>
    <w:lvl w:ilvl="4" w:tentative="0">
      <w:start w:val="0"/>
      <w:numFmt w:val="bullet"/>
      <w:lvlText w:val="•"/>
      <w:lvlJc w:val="left"/>
      <w:pPr>
        <w:ind w:left="5118" w:hanging="601"/>
      </w:pPr>
      <w:rPr>
        <w:rFonts w:hint="default"/>
        <w:lang w:val="zh-CN" w:eastAsia="zh-CN" w:bidi="zh-CN"/>
      </w:rPr>
    </w:lvl>
    <w:lvl w:ilvl="5" w:tentative="0">
      <w:start w:val="0"/>
      <w:numFmt w:val="bullet"/>
      <w:lvlText w:val="•"/>
      <w:lvlJc w:val="left"/>
      <w:pPr>
        <w:ind w:left="5993" w:hanging="601"/>
      </w:pPr>
      <w:rPr>
        <w:rFonts w:hint="default"/>
        <w:lang w:val="zh-CN" w:eastAsia="zh-CN" w:bidi="zh-CN"/>
      </w:rPr>
    </w:lvl>
    <w:lvl w:ilvl="6" w:tentative="0">
      <w:start w:val="0"/>
      <w:numFmt w:val="bullet"/>
      <w:lvlText w:val="•"/>
      <w:lvlJc w:val="left"/>
      <w:pPr>
        <w:ind w:left="6868" w:hanging="601"/>
      </w:pPr>
      <w:rPr>
        <w:rFonts w:hint="default"/>
        <w:lang w:val="zh-CN" w:eastAsia="zh-CN" w:bidi="zh-CN"/>
      </w:rPr>
    </w:lvl>
    <w:lvl w:ilvl="7" w:tentative="0">
      <w:start w:val="0"/>
      <w:numFmt w:val="bullet"/>
      <w:lvlText w:val="•"/>
      <w:lvlJc w:val="left"/>
      <w:pPr>
        <w:ind w:left="7742" w:hanging="601"/>
      </w:pPr>
      <w:rPr>
        <w:rFonts w:hint="default"/>
        <w:lang w:val="zh-CN" w:eastAsia="zh-CN" w:bidi="zh-CN"/>
      </w:rPr>
    </w:lvl>
    <w:lvl w:ilvl="8" w:tentative="0">
      <w:start w:val="0"/>
      <w:numFmt w:val="bullet"/>
      <w:lvlText w:val="•"/>
      <w:lvlJc w:val="left"/>
      <w:pPr>
        <w:ind w:left="8617" w:hanging="601"/>
      </w:pPr>
      <w:rPr>
        <w:rFonts w:hint="default"/>
        <w:lang w:val="zh-CN" w:eastAsia="zh-CN" w:bidi="zh-CN"/>
      </w:rPr>
    </w:lvl>
  </w:abstractNum>
  <w:abstractNum w:abstractNumId="123">
    <w:nsid w:val="70AE371C"/>
    <w:multiLevelType w:val="multilevel"/>
    <w:tmpl w:val="70AE371C"/>
    <w:lvl w:ilvl="0" w:tentative="0">
      <w:start w:val="1"/>
      <w:numFmt w:val="decimal"/>
      <w:lvlText w:val="（%1）"/>
      <w:lvlJc w:val="left"/>
      <w:pPr>
        <w:ind w:left="1141"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62" w:hanging="601"/>
      </w:pPr>
      <w:rPr>
        <w:rFonts w:hint="default"/>
        <w:lang w:val="zh-CN" w:eastAsia="zh-CN" w:bidi="zh-CN"/>
      </w:rPr>
    </w:lvl>
    <w:lvl w:ilvl="2" w:tentative="0">
      <w:start w:val="0"/>
      <w:numFmt w:val="bullet"/>
      <w:lvlText w:val="•"/>
      <w:lvlJc w:val="left"/>
      <w:pPr>
        <w:ind w:left="2985" w:hanging="601"/>
      </w:pPr>
      <w:rPr>
        <w:rFonts w:hint="default"/>
        <w:lang w:val="zh-CN" w:eastAsia="zh-CN" w:bidi="zh-CN"/>
      </w:rPr>
    </w:lvl>
    <w:lvl w:ilvl="3" w:tentative="0">
      <w:start w:val="0"/>
      <w:numFmt w:val="bullet"/>
      <w:lvlText w:val="•"/>
      <w:lvlJc w:val="left"/>
      <w:pPr>
        <w:ind w:left="3908" w:hanging="601"/>
      </w:pPr>
      <w:rPr>
        <w:rFonts w:hint="default"/>
        <w:lang w:val="zh-CN" w:eastAsia="zh-CN" w:bidi="zh-CN"/>
      </w:rPr>
    </w:lvl>
    <w:lvl w:ilvl="4" w:tentative="0">
      <w:start w:val="0"/>
      <w:numFmt w:val="bullet"/>
      <w:lvlText w:val="•"/>
      <w:lvlJc w:val="left"/>
      <w:pPr>
        <w:ind w:left="4830" w:hanging="601"/>
      </w:pPr>
      <w:rPr>
        <w:rFonts w:hint="default"/>
        <w:lang w:val="zh-CN" w:eastAsia="zh-CN" w:bidi="zh-CN"/>
      </w:rPr>
    </w:lvl>
    <w:lvl w:ilvl="5" w:tentative="0">
      <w:start w:val="0"/>
      <w:numFmt w:val="bullet"/>
      <w:lvlText w:val="•"/>
      <w:lvlJc w:val="left"/>
      <w:pPr>
        <w:ind w:left="5753" w:hanging="601"/>
      </w:pPr>
      <w:rPr>
        <w:rFonts w:hint="default"/>
        <w:lang w:val="zh-CN" w:eastAsia="zh-CN" w:bidi="zh-CN"/>
      </w:rPr>
    </w:lvl>
    <w:lvl w:ilvl="6" w:tentative="0">
      <w:start w:val="0"/>
      <w:numFmt w:val="bullet"/>
      <w:lvlText w:val="•"/>
      <w:lvlJc w:val="left"/>
      <w:pPr>
        <w:ind w:left="6676" w:hanging="601"/>
      </w:pPr>
      <w:rPr>
        <w:rFonts w:hint="default"/>
        <w:lang w:val="zh-CN" w:eastAsia="zh-CN" w:bidi="zh-CN"/>
      </w:rPr>
    </w:lvl>
    <w:lvl w:ilvl="7" w:tentative="0">
      <w:start w:val="0"/>
      <w:numFmt w:val="bullet"/>
      <w:lvlText w:val="•"/>
      <w:lvlJc w:val="left"/>
      <w:pPr>
        <w:ind w:left="7598" w:hanging="601"/>
      </w:pPr>
      <w:rPr>
        <w:rFonts w:hint="default"/>
        <w:lang w:val="zh-CN" w:eastAsia="zh-CN" w:bidi="zh-CN"/>
      </w:rPr>
    </w:lvl>
    <w:lvl w:ilvl="8" w:tentative="0">
      <w:start w:val="0"/>
      <w:numFmt w:val="bullet"/>
      <w:lvlText w:val="•"/>
      <w:lvlJc w:val="left"/>
      <w:pPr>
        <w:ind w:left="8521" w:hanging="601"/>
      </w:pPr>
      <w:rPr>
        <w:rFonts w:hint="default"/>
        <w:lang w:val="zh-CN" w:eastAsia="zh-CN" w:bidi="zh-CN"/>
      </w:rPr>
    </w:lvl>
  </w:abstractNum>
  <w:abstractNum w:abstractNumId="124">
    <w:nsid w:val="70F95E71"/>
    <w:multiLevelType w:val="multilevel"/>
    <w:tmpl w:val="70F95E71"/>
    <w:lvl w:ilvl="0" w:tentative="0">
      <w:start w:val="1"/>
      <w:numFmt w:val="decimal"/>
      <w:lvlText w:val="（%1）"/>
      <w:lvlJc w:val="left"/>
      <w:pPr>
        <w:ind w:left="540" w:hanging="601"/>
        <w:jc w:val="left"/>
      </w:pPr>
      <w:rPr>
        <w:rFonts w:hint="default" w:ascii="宋体" w:hAnsi="宋体" w:eastAsia="宋体" w:cs="宋体"/>
        <w:spacing w:val="-29"/>
        <w:w w:val="100"/>
        <w:sz w:val="22"/>
        <w:szCs w:val="22"/>
        <w:lang w:val="zh-CN" w:eastAsia="zh-CN" w:bidi="zh-CN"/>
      </w:rPr>
    </w:lvl>
    <w:lvl w:ilvl="1" w:tentative="0">
      <w:start w:val="0"/>
      <w:numFmt w:val="bullet"/>
      <w:lvlText w:val="•"/>
      <w:lvlJc w:val="left"/>
      <w:pPr>
        <w:ind w:left="1522" w:hanging="601"/>
      </w:pPr>
      <w:rPr>
        <w:rFonts w:hint="default"/>
        <w:lang w:val="zh-CN" w:eastAsia="zh-CN" w:bidi="zh-CN"/>
      </w:rPr>
    </w:lvl>
    <w:lvl w:ilvl="2" w:tentative="0">
      <w:start w:val="0"/>
      <w:numFmt w:val="bullet"/>
      <w:lvlText w:val="•"/>
      <w:lvlJc w:val="left"/>
      <w:pPr>
        <w:ind w:left="2505" w:hanging="601"/>
      </w:pPr>
      <w:rPr>
        <w:rFonts w:hint="default"/>
        <w:lang w:val="zh-CN" w:eastAsia="zh-CN" w:bidi="zh-CN"/>
      </w:rPr>
    </w:lvl>
    <w:lvl w:ilvl="3" w:tentative="0">
      <w:start w:val="0"/>
      <w:numFmt w:val="bullet"/>
      <w:lvlText w:val="•"/>
      <w:lvlJc w:val="left"/>
      <w:pPr>
        <w:ind w:left="3488" w:hanging="601"/>
      </w:pPr>
      <w:rPr>
        <w:rFonts w:hint="default"/>
        <w:lang w:val="zh-CN" w:eastAsia="zh-CN" w:bidi="zh-CN"/>
      </w:rPr>
    </w:lvl>
    <w:lvl w:ilvl="4" w:tentative="0">
      <w:start w:val="0"/>
      <w:numFmt w:val="bullet"/>
      <w:lvlText w:val="•"/>
      <w:lvlJc w:val="left"/>
      <w:pPr>
        <w:ind w:left="4470" w:hanging="601"/>
      </w:pPr>
      <w:rPr>
        <w:rFonts w:hint="default"/>
        <w:lang w:val="zh-CN" w:eastAsia="zh-CN" w:bidi="zh-CN"/>
      </w:rPr>
    </w:lvl>
    <w:lvl w:ilvl="5" w:tentative="0">
      <w:start w:val="0"/>
      <w:numFmt w:val="bullet"/>
      <w:lvlText w:val="•"/>
      <w:lvlJc w:val="left"/>
      <w:pPr>
        <w:ind w:left="5453" w:hanging="601"/>
      </w:pPr>
      <w:rPr>
        <w:rFonts w:hint="default"/>
        <w:lang w:val="zh-CN" w:eastAsia="zh-CN" w:bidi="zh-CN"/>
      </w:rPr>
    </w:lvl>
    <w:lvl w:ilvl="6" w:tentative="0">
      <w:start w:val="0"/>
      <w:numFmt w:val="bullet"/>
      <w:lvlText w:val="•"/>
      <w:lvlJc w:val="left"/>
      <w:pPr>
        <w:ind w:left="6436" w:hanging="601"/>
      </w:pPr>
      <w:rPr>
        <w:rFonts w:hint="default"/>
        <w:lang w:val="zh-CN" w:eastAsia="zh-CN" w:bidi="zh-CN"/>
      </w:rPr>
    </w:lvl>
    <w:lvl w:ilvl="7" w:tentative="0">
      <w:start w:val="0"/>
      <w:numFmt w:val="bullet"/>
      <w:lvlText w:val="•"/>
      <w:lvlJc w:val="left"/>
      <w:pPr>
        <w:ind w:left="7418" w:hanging="601"/>
      </w:pPr>
      <w:rPr>
        <w:rFonts w:hint="default"/>
        <w:lang w:val="zh-CN" w:eastAsia="zh-CN" w:bidi="zh-CN"/>
      </w:rPr>
    </w:lvl>
    <w:lvl w:ilvl="8" w:tentative="0">
      <w:start w:val="0"/>
      <w:numFmt w:val="bullet"/>
      <w:lvlText w:val="•"/>
      <w:lvlJc w:val="left"/>
      <w:pPr>
        <w:ind w:left="8401" w:hanging="601"/>
      </w:pPr>
      <w:rPr>
        <w:rFonts w:hint="default"/>
        <w:lang w:val="zh-CN" w:eastAsia="zh-CN" w:bidi="zh-CN"/>
      </w:rPr>
    </w:lvl>
  </w:abstractNum>
  <w:abstractNum w:abstractNumId="125">
    <w:nsid w:val="744F3566"/>
    <w:multiLevelType w:val="multilevel"/>
    <w:tmpl w:val="744F3566"/>
    <w:lvl w:ilvl="0" w:tentative="0">
      <w:start w:val="4"/>
      <w:numFmt w:val="decimal"/>
      <w:lvlText w:val="%1"/>
      <w:lvlJc w:val="left"/>
      <w:pPr>
        <w:ind w:left="1200" w:hanging="660"/>
        <w:jc w:val="left"/>
      </w:pPr>
      <w:rPr>
        <w:rFonts w:hint="default"/>
        <w:lang w:val="zh-CN" w:eastAsia="zh-CN" w:bidi="zh-CN"/>
      </w:rPr>
    </w:lvl>
    <w:lvl w:ilvl="1" w:tentative="0">
      <w:start w:val="1"/>
      <w:numFmt w:val="decimal"/>
      <w:lvlText w:val="%1.%2"/>
      <w:lvlJc w:val="left"/>
      <w:pPr>
        <w:ind w:left="1200" w:hanging="660"/>
        <w:jc w:val="left"/>
      </w:pPr>
      <w:rPr>
        <w:rFonts w:hint="default"/>
        <w:lang w:val="zh-CN" w:eastAsia="zh-CN" w:bidi="zh-CN"/>
      </w:rPr>
    </w:lvl>
    <w:lvl w:ilvl="2" w:tentative="0">
      <w:start w:val="9"/>
      <w:numFmt w:val="decimal"/>
      <w:lvlText w:val="%1.%2.%3"/>
      <w:lvlJc w:val="left"/>
      <w:pPr>
        <w:ind w:left="120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3950" w:hanging="660"/>
      </w:pPr>
      <w:rPr>
        <w:rFonts w:hint="default"/>
        <w:lang w:val="zh-CN" w:eastAsia="zh-CN" w:bidi="zh-CN"/>
      </w:rPr>
    </w:lvl>
    <w:lvl w:ilvl="4" w:tentative="0">
      <w:start w:val="0"/>
      <w:numFmt w:val="bullet"/>
      <w:lvlText w:val="•"/>
      <w:lvlJc w:val="left"/>
      <w:pPr>
        <w:ind w:left="4866" w:hanging="660"/>
      </w:pPr>
      <w:rPr>
        <w:rFonts w:hint="default"/>
        <w:lang w:val="zh-CN" w:eastAsia="zh-CN" w:bidi="zh-CN"/>
      </w:rPr>
    </w:lvl>
    <w:lvl w:ilvl="5" w:tentative="0">
      <w:start w:val="0"/>
      <w:numFmt w:val="bullet"/>
      <w:lvlText w:val="•"/>
      <w:lvlJc w:val="left"/>
      <w:pPr>
        <w:ind w:left="5783" w:hanging="660"/>
      </w:pPr>
      <w:rPr>
        <w:rFonts w:hint="default"/>
        <w:lang w:val="zh-CN" w:eastAsia="zh-CN" w:bidi="zh-CN"/>
      </w:rPr>
    </w:lvl>
    <w:lvl w:ilvl="6" w:tentative="0">
      <w:start w:val="0"/>
      <w:numFmt w:val="bullet"/>
      <w:lvlText w:val="•"/>
      <w:lvlJc w:val="left"/>
      <w:pPr>
        <w:ind w:left="6700" w:hanging="660"/>
      </w:pPr>
      <w:rPr>
        <w:rFonts w:hint="default"/>
        <w:lang w:val="zh-CN" w:eastAsia="zh-CN" w:bidi="zh-CN"/>
      </w:rPr>
    </w:lvl>
    <w:lvl w:ilvl="7" w:tentative="0">
      <w:start w:val="0"/>
      <w:numFmt w:val="bullet"/>
      <w:lvlText w:val="•"/>
      <w:lvlJc w:val="left"/>
      <w:pPr>
        <w:ind w:left="7616" w:hanging="660"/>
      </w:pPr>
      <w:rPr>
        <w:rFonts w:hint="default"/>
        <w:lang w:val="zh-CN" w:eastAsia="zh-CN" w:bidi="zh-CN"/>
      </w:rPr>
    </w:lvl>
    <w:lvl w:ilvl="8" w:tentative="0">
      <w:start w:val="0"/>
      <w:numFmt w:val="bullet"/>
      <w:lvlText w:val="•"/>
      <w:lvlJc w:val="left"/>
      <w:pPr>
        <w:ind w:left="8533" w:hanging="660"/>
      </w:pPr>
      <w:rPr>
        <w:rFonts w:hint="default"/>
        <w:lang w:val="zh-CN" w:eastAsia="zh-CN" w:bidi="zh-CN"/>
      </w:rPr>
    </w:lvl>
  </w:abstractNum>
  <w:abstractNum w:abstractNumId="126">
    <w:nsid w:val="7499D7B3"/>
    <w:multiLevelType w:val="multilevel"/>
    <w:tmpl w:val="7499D7B3"/>
    <w:lvl w:ilvl="0" w:tentative="0">
      <w:start w:val="3"/>
      <w:numFmt w:val="decimal"/>
      <w:lvlText w:val="%1"/>
      <w:lvlJc w:val="left"/>
      <w:pPr>
        <w:ind w:left="1621" w:hanging="601"/>
        <w:jc w:val="left"/>
      </w:pPr>
      <w:rPr>
        <w:rFonts w:hint="default"/>
        <w:lang w:val="zh-CN" w:eastAsia="zh-CN" w:bidi="zh-CN"/>
      </w:rPr>
    </w:lvl>
    <w:lvl w:ilvl="1" w:tentative="0">
      <w:start w:val="8"/>
      <w:numFmt w:val="decimal"/>
      <w:lvlText w:val="%1.%2."/>
      <w:lvlJc w:val="left"/>
      <w:pPr>
        <w:ind w:left="1621" w:hanging="601"/>
        <w:jc w:val="left"/>
      </w:pPr>
      <w:rPr>
        <w:rFonts w:hint="default" w:ascii="宋体" w:hAnsi="宋体" w:eastAsia="宋体" w:cs="宋体"/>
        <w:w w:val="100"/>
        <w:sz w:val="22"/>
        <w:szCs w:val="22"/>
        <w:lang w:val="zh-CN" w:eastAsia="zh-CN" w:bidi="zh-CN"/>
      </w:rPr>
    </w:lvl>
    <w:lvl w:ilvl="2" w:tentative="0">
      <w:start w:val="1"/>
      <w:numFmt w:val="decimal"/>
      <w:lvlText w:val="%1.%2.%3"/>
      <w:lvlJc w:val="left"/>
      <w:pPr>
        <w:ind w:left="540" w:hanging="660"/>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5058" w:hanging="660"/>
      </w:pPr>
      <w:rPr>
        <w:rFonts w:hint="default"/>
        <w:lang w:val="zh-CN" w:eastAsia="zh-CN" w:bidi="zh-CN"/>
      </w:rPr>
    </w:lvl>
    <w:lvl w:ilvl="4" w:tentative="0">
      <w:start w:val="0"/>
      <w:numFmt w:val="bullet"/>
      <w:lvlText w:val="•"/>
      <w:lvlJc w:val="left"/>
      <w:pPr>
        <w:ind w:left="5816" w:hanging="660"/>
      </w:pPr>
      <w:rPr>
        <w:rFonts w:hint="default"/>
        <w:lang w:val="zh-CN" w:eastAsia="zh-CN" w:bidi="zh-CN"/>
      </w:rPr>
    </w:lvl>
    <w:lvl w:ilvl="5" w:tentative="0">
      <w:start w:val="0"/>
      <w:numFmt w:val="bullet"/>
      <w:lvlText w:val="•"/>
      <w:lvlJc w:val="left"/>
      <w:pPr>
        <w:ind w:left="6575" w:hanging="660"/>
      </w:pPr>
      <w:rPr>
        <w:rFonts w:hint="default"/>
        <w:lang w:val="zh-CN" w:eastAsia="zh-CN" w:bidi="zh-CN"/>
      </w:rPr>
    </w:lvl>
    <w:lvl w:ilvl="6" w:tentative="0">
      <w:start w:val="0"/>
      <w:numFmt w:val="bullet"/>
      <w:lvlText w:val="•"/>
      <w:lvlJc w:val="left"/>
      <w:pPr>
        <w:ind w:left="7333" w:hanging="660"/>
      </w:pPr>
      <w:rPr>
        <w:rFonts w:hint="default"/>
        <w:lang w:val="zh-CN" w:eastAsia="zh-CN" w:bidi="zh-CN"/>
      </w:rPr>
    </w:lvl>
    <w:lvl w:ilvl="7" w:tentative="0">
      <w:start w:val="0"/>
      <w:numFmt w:val="bullet"/>
      <w:lvlText w:val="•"/>
      <w:lvlJc w:val="left"/>
      <w:pPr>
        <w:ind w:left="8091" w:hanging="660"/>
      </w:pPr>
      <w:rPr>
        <w:rFonts w:hint="default"/>
        <w:lang w:val="zh-CN" w:eastAsia="zh-CN" w:bidi="zh-CN"/>
      </w:rPr>
    </w:lvl>
    <w:lvl w:ilvl="8" w:tentative="0">
      <w:start w:val="0"/>
      <w:numFmt w:val="bullet"/>
      <w:lvlText w:val="•"/>
      <w:lvlJc w:val="left"/>
      <w:pPr>
        <w:ind w:left="8850" w:hanging="660"/>
      </w:pPr>
      <w:rPr>
        <w:rFonts w:hint="default"/>
        <w:lang w:val="zh-CN" w:eastAsia="zh-CN" w:bidi="zh-CN"/>
      </w:rPr>
    </w:lvl>
  </w:abstractNum>
  <w:abstractNum w:abstractNumId="127">
    <w:nsid w:val="773C851D"/>
    <w:multiLevelType w:val="multilevel"/>
    <w:tmpl w:val="773C851D"/>
    <w:lvl w:ilvl="0" w:tentative="0">
      <w:start w:val="4"/>
      <w:numFmt w:val="decimal"/>
      <w:lvlText w:val="%1）"/>
      <w:lvlJc w:val="left"/>
      <w:pPr>
        <w:ind w:left="1321" w:hanging="361"/>
        <w:jc w:val="left"/>
      </w:pPr>
      <w:rPr>
        <w:rFonts w:hint="default" w:ascii="宋体" w:hAnsi="宋体" w:eastAsia="宋体" w:cs="宋体"/>
        <w:spacing w:val="-60"/>
        <w:w w:val="100"/>
        <w:sz w:val="22"/>
        <w:szCs w:val="22"/>
        <w:lang w:val="zh-CN" w:eastAsia="zh-CN" w:bidi="zh-CN"/>
      </w:rPr>
    </w:lvl>
    <w:lvl w:ilvl="1" w:tentative="0">
      <w:start w:val="0"/>
      <w:numFmt w:val="bullet"/>
      <w:lvlText w:val="•"/>
      <w:lvlJc w:val="left"/>
      <w:pPr>
        <w:ind w:left="2224" w:hanging="361"/>
      </w:pPr>
      <w:rPr>
        <w:rFonts w:hint="default"/>
        <w:lang w:val="zh-CN" w:eastAsia="zh-CN" w:bidi="zh-CN"/>
      </w:rPr>
    </w:lvl>
    <w:lvl w:ilvl="2" w:tentative="0">
      <w:start w:val="0"/>
      <w:numFmt w:val="bullet"/>
      <w:lvlText w:val="•"/>
      <w:lvlJc w:val="left"/>
      <w:pPr>
        <w:ind w:left="3129" w:hanging="361"/>
      </w:pPr>
      <w:rPr>
        <w:rFonts w:hint="default"/>
        <w:lang w:val="zh-CN" w:eastAsia="zh-CN" w:bidi="zh-CN"/>
      </w:rPr>
    </w:lvl>
    <w:lvl w:ilvl="3" w:tentative="0">
      <w:start w:val="0"/>
      <w:numFmt w:val="bullet"/>
      <w:lvlText w:val="•"/>
      <w:lvlJc w:val="left"/>
      <w:pPr>
        <w:ind w:left="4034" w:hanging="361"/>
      </w:pPr>
      <w:rPr>
        <w:rFonts w:hint="default"/>
        <w:lang w:val="zh-CN" w:eastAsia="zh-CN" w:bidi="zh-CN"/>
      </w:rPr>
    </w:lvl>
    <w:lvl w:ilvl="4" w:tentative="0">
      <w:start w:val="0"/>
      <w:numFmt w:val="bullet"/>
      <w:lvlText w:val="•"/>
      <w:lvlJc w:val="left"/>
      <w:pPr>
        <w:ind w:left="4938" w:hanging="361"/>
      </w:pPr>
      <w:rPr>
        <w:rFonts w:hint="default"/>
        <w:lang w:val="zh-CN" w:eastAsia="zh-CN" w:bidi="zh-CN"/>
      </w:rPr>
    </w:lvl>
    <w:lvl w:ilvl="5" w:tentative="0">
      <w:start w:val="0"/>
      <w:numFmt w:val="bullet"/>
      <w:lvlText w:val="•"/>
      <w:lvlJc w:val="left"/>
      <w:pPr>
        <w:ind w:left="5843" w:hanging="361"/>
      </w:pPr>
      <w:rPr>
        <w:rFonts w:hint="default"/>
        <w:lang w:val="zh-CN" w:eastAsia="zh-CN" w:bidi="zh-CN"/>
      </w:rPr>
    </w:lvl>
    <w:lvl w:ilvl="6" w:tentative="0">
      <w:start w:val="0"/>
      <w:numFmt w:val="bullet"/>
      <w:lvlText w:val="•"/>
      <w:lvlJc w:val="left"/>
      <w:pPr>
        <w:ind w:left="6748" w:hanging="361"/>
      </w:pPr>
      <w:rPr>
        <w:rFonts w:hint="default"/>
        <w:lang w:val="zh-CN" w:eastAsia="zh-CN" w:bidi="zh-CN"/>
      </w:rPr>
    </w:lvl>
    <w:lvl w:ilvl="7" w:tentative="0">
      <w:start w:val="0"/>
      <w:numFmt w:val="bullet"/>
      <w:lvlText w:val="•"/>
      <w:lvlJc w:val="left"/>
      <w:pPr>
        <w:ind w:left="7652" w:hanging="361"/>
      </w:pPr>
      <w:rPr>
        <w:rFonts w:hint="default"/>
        <w:lang w:val="zh-CN" w:eastAsia="zh-CN" w:bidi="zh-CN"/>
      </w:rPr>
    </w:lvl>
    <w:lvl w:ilvl="8" w:tentative="0">
      <w:start w:val="0"/>
      <w:numFmt w:val="bullet"/>
      <w:lvlText w:val="•"/>
      <w:lvlJc w:val="left"/>
      <w:pPr>
        <w:ind w:left="8557" w:hanging="361"/>
      </w:pPr>
      <w:rPr>
        <w:rFonts w:hint="default"/>
        <w:lang w:val="zh-CN" w:eastAsia="zh-CN" w:bidi="zh-CN"/>
      </w:rPr>
    </w:lvl>
  </w:abstractNum>
  <w:abstractNum w:abstractNumId="128">
    <w:nsid w:val="7B1E29B8"/>
    <w:multiLevelType w:val="multilevel"/>
    <w:tmpl w:val="7B1E29B8"/>
    <w:lvl w:ilvl="0" w:tentative="0">
      <w:start w:val="1"/>
      <w:numFmt w:val="decimal"/>
      <w:lvlText w:val="（%1）"/>
      <w:lvlJc w:val="left"/>
      <w:pPr>
        <w:ind w:left="1485" w:hanging="525"/>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2368" w:hanging="525"/>
      </w:pPr>
      <w:rPr>
        <w:rFonts w:hint="default"/>
        <w:lang w:val="zh-CN" w:eastAsia="zh-CN" w:bidi="zh-CN"/>
      </w:rPr>
    </w:lvl>
    <w:lvl w:ilvl="2" w:tentative="0">
      <w:start w:val="0"/>
      <w:numFmt w:val="bullet"/>
      <w:lvlText w:val="•"/>
      <w:lvlJc w:val="left"/>
      <w:pPr>
        <w:ind w:left="3257" w:hanging="525"/>
      </w:pPr>
      <w:rPr>
        <w:rFonts w:hint="default"/>
        <w:lang w:val="zh-CN" w:eastAsia="zh-CN" w:bidi="zh-CN"/>
      </w:rPr>
    </w:lvl>
    <w:lvl w:ilvl="3" w:tentative="0">
      <w:start w:val="0"/>
      <w:numFmt w:val="bullet"/>
      <w:lvlText w:val="•"/>
      <w:lvlJc w:val="left"/>
      <w:pPr>
        <w:ind w:left="4146" w:hanging="525"/>
      </w:pPr>
      <w:rPr>
        <w:rFonts w:hint="default"/>
        <w:lang w:val="zh-CN" w:eastAsia="zh-CN" w:bidi="zh-CN"/>
      </w:rPr>
    </w:lvl>
    <w:lvl w:ilvl="4" w:tentative="0">
      <w:start w:val="0"/>
      <w:numFmt w:val="bullet"/>
      <w:lvlText w:val="•"/>
      <w:lvlJc w:val="left"/>
      <w:pPr>
        <w:ind w:left="5034" w:hanging="525"/>
      </w:pPr>
      <w:rPr>
        <w:rFonts w:hint="default"/>
        <w:lang w:val="zh-CN" w:eastAsia="zh-CN" w:bidi="zh-CN"/>
      </w:rPr>
    </w:lvl>
    <w:lvl w:ilvl="5" w:tentative="0">
      <w:start w:val="0"/>
      <w:numFmt w:val="bullet"/>
      <w:lvlText w:val="•"/>
      <w:lvlJc w:val="left"/>
      <w:pPr>
        <w:ind w:left="5923" w:hanging="525"/>
      </w:pPr>
      <w:rPr>
        <w:rFonts w:hint="default"/>
        <w:lang w:val="zh-CN" w:eastAsia="zh-CN" w:bidi="zh-CN"/>
      </w:rPr>
    </w:lvl>
    <w:lvl w:ilvl="6" w:tentative="0">
      <w:start w:val="0"/>
      <w:numFmt w:val="bullet"/>
      <w:lvlText w:val="•"/>
      <w:lvlJc w:val="left"/>
      <w:pPr>
        <w:ind w:left="6812" w:hanging="525"/>
      </w:pPr>
      <w:rPr>
        <w:rFonts w:hint="default"/>
        <w:lang w:val="zh-CN" w:eastAsia="zh-CN" w:bidi="zh-CN"/>
      </w:rPr>
    </w:lvl>
    <w:lvl w:ilvl="7" w:tentative="0">
      <w:start w:val="0"/>
      <w:numFmt w:val="bullet"/>
      <w:lvlText w:val="•"/>
      <w:lvlJc w:val="left"/>
      <w:pPr>
        <w:ind w:left="7700" w:hanging="525"/>
      </w:pPr>
      <w:rPr>
        <w:rFonts w:hint="default"/>
        <w:lang w:val="zh-CN" w:eastAsia="zh-CN" w:bidi="zh-CN"/>
      </w:rPr>
    </w:lvl>
    <w:lvl w:ilvl="8" w:tentative="0">
      <w:start w:val="0"/>
      <w:numFmt w:val="bullet"/>
      <w:lvlText w:val="•"/>
      <w:lvlJc w:val="left"/>
      <w:pPr>
        <w:ind w:left="8589" w:hanging="525"/>
      </w:pPr>
      <w:rPr>
        <w:rFonts w:hint="default"/>
        <w:lang w:val="zh-CN" w:eastAsia="zh-CN" w:bidi="zh-CN"/>
      </w:rPr>
    </w:lvl>
  </w:abstractNum>
  <w:num w:numId="1">
    <w:abstractNumId w:val="86"/>
  </w:num>
  <w:num w:numId="2">
    <w:abstractNumId w:val="51"/>
  </w:num>
  <w:num w:numId="3">
    <w:abstractNumId w:val="14"/>
  </w:num>
  <w:num w:numId="4">
    <w:abstractNumId w:val="98"/>
  </w:num>
  <w:num w:numId="5">
    <w:abstractNumId w:val="100"/>
  </w:num>
  <w:num w:numId="6">
    <w:abstractNumId w:val="76"/>
  </w:num>
  <w:num w:numId="7">
    <w:abstractNumId w:val="122"/>
  </w:num>
  <w:num w:numId="8">
    <w:abstractNumId w:val="49"/>
  </w:num>
  <w:num w:numId="9">
    <w:abstractNumId w:val="85"/>
  </w:num>
  <w:num w:numId="10">
    <w:abstractNumId w:val="74"/>
  </w:num>
  <w:num w:numId="11">
    <w:abstractNumId w:val="55"/>
  </w:num>
  <w:num w:numId="12">
    <w:abstractNumId w:val="59"/>
  </w:num>
  <w:num w:numId="13">
    <w:abstractNumId w:val="43"/>
  </w:num>
  <w:num w:numId="14">
    <w:abstractNumId w:val="102"/>
  </w:num>
  <w:num w:numId="15">
    <w:abstractNumId w:val="63"/>
  </w:num>
  <w:num w:numId="16">
    <w:abstractNumId w:val="9"/>
  </w:num>
  <w:num w:numId="17">
    <w:abstractNumId w:val="58"/>
  </w:num>
  <w:num w:numId="18">
    <w:abstractNumId w:val="68"/>
  </w:num>
  <w:num w:numId="19">
    <w:abstractNumId w:val="36"/>
  </w:num>
  <w:num w:numId="20">
    <w:abstractNumId w:val="97"/>
  </w:num>
  <w:num w:numId="21">
    <w:abstractNumId w:val="120"/>
  </w:num>
  <w:num w:numId="22">
    <w:abstractNumId w:val="44"/>
  </w:num>
  <w:num w:numId="23">
    <w:abstractNumId w:val="20"/>
  </w:num>
  <w:num w:numId="24">
    <w:abstractNumId w:val="1"/>
  </w:num>
  <w:num w:numId="25">
    <w:abstractNumId w:val="24"/>
  </w:num>
  <w:num w:numId="26">
    <w:abstractNumId w:val="73"/>
  </w:num>
  <w:num w:numId="27">
    <w:abstractNumId w:val="27"/>
  </w:num>
  <w:num w:numId="28">
    <w:abstractNumId w:val="60"/>
  </w:num>
  <w:num w:numId="29">
    <w:abstractNumId w:val="87"/>
  </w:num>
  <w:num w:numId="30">
    <w:abstractNumId w:val="106"/>
  </w:num>
  <w:num w:numId="31">
    <w:abstractNumId w:val="26"/>
  </w:num>
  <w:num w:numId="32">
    <w:abstractNumId w:val="99"/>
  </w:num>
  <w:num w:numId="33">
    <w:abstractNumId w:val="82"/>
  </w:num>
  <w:num w:numId="34">
    <w:abstractNumId w:val="79"/>
  </w:num>
  <w:num w:numId="35">
    <w:abstractNumId w:val="65"/>
  </w:num>
  <w:num w:numId="36">
    <w:abstractNumId w:val="95"/>
  </w:num>
  <w:num w:numId="37">
    <w:abstractNumId w:val="33"/>
  </w:num>
  <w:num w:numId="38">
    <w:abstractNumId w:val="110"/>
  </w:num>
  <w:num w:numId="39">
    <w:abstractNumId w:val="101"/>
  </w:num>
  <w:num w:numId="40">
    <w:abstractNumId w:val="89"/>
  </w:num>
  <w:num w:numId="41">
    <w:abstractNumId w:val="57"/>
  </w:num>
  <w:num w:numId="42">
    <w:abstractNumId w:val="19"/>
  </w:num>
  <w:num w:numId="43">
    <w:abstractNumId w:val="126"/>
  </w:num>
  <w:num w:numId="44">
    <w:abstractNumId w:val="88"/>
  </w:num>
  <w:num w:numId="45">
    <w:abstractNumId w:val="121"/>
  </w:num>
  <w:num w:numId="46">
    <w:abstractNumId w:val="7"/>
  </w:num>
  <w:num w:numId="47">
    <w:abstractNumId w:val="119"/>
  </w:num>
  <w:num w:numId="48">
    <w:abstractNumId w:val="39"/>
  </w:num>
  <w:num w:numId="49">
    <w:abstractNumId w:val="116"/>
  </w:num>
  <w:num w:numId="50">
    <w:abstractNumId w:val="93"/>
  </w:num>
  <w:num w:numId="51">
    <w:abstractNumId w:val="125"/>
  </w:num>
  <w:num w:numId="52">
    <w:abstractNumId w:val="124"/>
  </w:num>
  <w:num w:numId="53">
    <w:abstractNumId w:val="42"/>
  </w:num>
  <w:num w:numId="54">
    <w:abstractNumId w:val="61"/>
  </w:num>
  <w:num w:numId="55">
    <w:abstractNumId w:val="67"/>
  </w:num>
  <w:num w:numId="56">
    <w:abstractNumId w:val="6"/>
  </w:num>
  <w:num w:numId="57">
    <w:abstractNumId w:val="28"/>
  </w:num>
  <w:num w:numId="58">
    <w:abstractNumId w:val="103"/>
  </w:num>
  <w:num w:numId="59">
    <w:abstractNumId w:val="29"/>
  </w:num>
  <w:num w:numId="60">
    <w:abstractNumId w:val="117"/>
  </w:num>
  <w:num w:numId="61">
    <w:abstractNumId w:val="109"/>
  </w:num>
  <w:num w:numId="62">
    <w:abstractNumId w:val="114"/>
  </w:num>
  <w:num w:numId="63">
    <w:abstractNumId w:val="32"/>
  </w:num>
  <w:num w:numId="64">
    <w:abstractNumId w:val="94"/>
  </w:num>
  <w:num w:numId="65">
    <w:abstractNumId w:val="54"/>
  </w:num>
  <w:num w:numId="66">
    <w:abstractNumId w:val="83"/>
  </w:num>
  <w:num w:numId="67">
    <w:abstractNumId w:val="0"/>
  </w:num>
  <w:num w:numId="68">
    <w:abstractNumId w:val="23"/>
  </w:num>
  <w:num w:numId="69">
    <w:abstractNumId w:val="78"/>
  </w:num>
  <w:num w:numId="70">
    <w:abstractNumId w:val="108"/>
  </w:num>
  <w:num w:numId="71">
    <w:abstractNumId w:val="118"/>
  </w:num>
  <w:num w:numId="72">
    <w:abstractNumId w:val="30"/>
  </w:num>
  <w:num w:numId="73">
    <w:abstractNumId w:val="15"/>
  </w:num>
  <w:num w:numId="74">
    <w:abstractNumId w:val="81"/>
  </w:num>
  <w:num w:numId="75">
    <w:abstractNumId w:val="66"/>
  </w:num>
  <w:num w:numId="76">
    <w:abstractNumId w:val="31"/>
  </w:num>
  <w:num w:numId="77">
    <w:abstractNumId w:val="25"/>
  </w:num>
  <w:num w:numId="78">
    <w:abstractNumId w:val="75"/>
  </w:num>
  <w:num w:numId="79">
    <w:abstractNumId w:val="77"/>
  </w:num>
  <w:num w:numId="80">
    <w:abstractNumId w:val="96"/>
  </w:num>
  <w:num w:numId="81">
    <w:abstractNumId w:val="69"/>
  </w:num>
  <w:num w:numId="82">
    <w:abstractNumId w:val="11"/>
  </w:num>
  <w:num w:numId="83">
    <w:abstractNumId w:val="113"/>
  </w:num>
  <w:num w:numId="84">
    <w:abstractNumId w:val="16"/>
  </w:num>
  <w:num w:numId="85">
    <w:abstractNumId w:val="3"/>
  </w:num>
  <w:num w:numId="86">
    <w:abstractNumId w:val="107"/>
  </w:num>
  <w:num w:numId="87">
    <w:abstractNumId w:val="13"/>
  </w:num>
  <w:num w:numId="88">
    <w:abstractNumId w:val="72"/>
  </w:num>
  <w:num w:numId="89">
    <w:abstractNumId w:val="56"/>
  </w:num>
  <w:num w:numId="90">
    <w:abstractNumId w:val="12"/>
  </w:num>
  <w:num w:numId="91">
    <w:abstractNumId w:val="8"/>
  </w:num>
  <w:num w:numId="92">
    <w:abstractNumId w:val="38"/>
  </w:num>
  <w:num w:numId="93">
    <w:abstractNumId w:val="10"/>
  </w:num>
  <w:num w:numId="94">
    <w:abstractNumId w:val="21"/>
  </w:num>
  <w:num w:numId="95">
    <w:abstractNumId w:val="105"/>
  </w:num>
  <w:num w:numId="96">
    <w:abstractNumId w:val="35"/>
  </w:num>
  <w:num w:numId="97">
    <w:abstractNumId w:val="84"/>
  </w:num>
  <w:num w:numId="98">
    <w:abstractNumId w:val="50"/>
  </w:num>
  <w:num w:numId="99">
    <w:abstractNumId w:val="52"/>
  </w:num>
  <w:num w:numId="100">
    <w:abstractNumId w:val="92"/>
  </w:num>
  <w:num w:numId="101">
    <w:abstractNumId w:val="62"/>
  </w:num>
  <w:num w:numId="102">
    <w:abstractNumId w:val="17"/>
  </w:num>
  <w:num w:numId="103">
    <w:abstractNumId w:val="104"/>
  </w:num>
  <w:num w:numId="104">
    <w:abstractNumId w:val="37"/>
  </w:num>
  <w:num w:numId="105">
    <w:abstractNumId w:val="128"/>
  </w:num>
  <w:num w:numId="106">
    <w:abstractNumId w:val="45"/>
  </w:num>
  <w:num w:numId="107">
    <w:abstractNumId w:val="5"/>
  </w:num>
  <w:num w:numId="108">
    <w:abstractNumId w:val="91"/>
  </w:num>
  <w:num w:numId="109">
    <w:abstractNumId w:val="71"/>
  </w:num>
  <w:num w:numId="110">
    <w:abstractNumId w:val="90"/>
  </w:num>
  <w:num w:numId="111">
    <w:abstractNumId w:val="22"/>
  </w:num>
  <w:num w:numId="112">
    <w:abstractNumId w:val="115"/>
  </w:num>
  <w:num w:numId="113">
    <w:abstractNumId w:val="18"/>
  </w:num>
  <w:num w:numId="114">
    <w:abstractNumId w:val="64"/>
  </w:num>
  <w:num w:numId="115">
    <w:abstractNumId w:val="34"/>
  </w:num>
  <w:num w:numId="116">
    <w:abstractNumId w:val="70"/>
  </w:num>
  <w:num w:numId="117">
    <w:abstractNumId w:val="112"/>
  </w:num>
  <w:num w:numId="118">
    <w:abstractNumId w:val="80"/>
  </w:num>
  <w:num w:numId="119">
    <w:abstractNumId w:val="111"/>
  </w:num>
  <w:num w:numId="120">
    <w:abstractNumId w:val="2"/>
  </w:num>
  <w:num w:numId="121">
    <w:abstractNumId w:val="127"/>
  </w:num>
  <w:num w:numId="122">
    <w:abstractNumId w:val="46"/>
  </w:num>
  <w:num w:numId="123">
    <w:abstractNumId w:val="4"/>
  </w:num>
  <w:num w:numId="124">
    <w:abstractNumId w:val="47"/>
  </w:num>
  <w:num w:numId="125">
    <w:abstractNumId w:val="48"/>
  </w:num>
  <w:num w:numId="126">
    <w:abstractNumId w:val="41"/>
  </w:num>
  <w:num w:numId="127">
    <w:abstractNumId w:val="53"/>
  </w:num>
  <w:num w:numId="128">
    <w:abstractNumId w:val="123"/>
  </w:num>
  <w:num w:numId="1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wODk5MDg0MDQxZTE2NjMwZTk2Y2VlODY2NzczNGEifQ=="/>
  </w:docVars>
  <w:rsids>
    <w:rsidRoot w:val="00000000"/>
    <w:rsid w:val="0A662118"/>
    <w:rsid w:val="164356CD"/>
    <w:rsid w:val="435C1F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61"/>
      <w:ind w:left="262" w:right="360"/>
      <w:jc w:val="center"/>
      <w:outlineLvl w:val="1"/>
    </w:pPr>
    <w:rPr>
      <w:rFonts w:ascii="宋体" w:hAnsi="宋体" w:eastAsia="宋体" w:cs="宋体"/>
      <w:b/>
      <w:bCs/>
      <w:sz w:val="28"/>
      <w:szCs w:val="28"/>
      <w:lang w:val="zh-CN" w:eastAsia="zh-CN" w:bidi="zh-CN"/>
    </w:rPr>
  </w:style>
  <w:style w:type="paragraph" w:styleId="3">
    <w:name w:val="heading 2"/>
    <w:basedOn w:val="1"/>
    <w:next w:val="1"/>
    <w:qFormat/>
    <w:uiPriority w:val="1"/>
    <w:pPr>
      <w:spacing w:before="62"/>
      <w:ind w:left="264" w:right="360"/>
      <w:jc w:val="center"/>
      <w:outlineLvl w:val="2"/>
    </w:pPr>
    <w:rPr>
      <w:rFonts w:ascii="等线" w:hAnsi="等线" w:eastAsia="等线" w:cs="等线"/>
      <w:sz w:val="28"/>
      <w:szCs w:val="28"/>
      <w:lang w:val="zh-CN" w:eastAsia="zh-CN" w:bidi="zh-CN"/>
    </w:rPr>
  </w:style>
  <w:style w:type="paragraph" w:styleId="4">
    <w:name w:val="heading 3"/>
    <w:basedOn w:val="1"/>
    <w:next w:val="1"/>
    <w:qFormat/>
    <w:uiPriority w:val="1"/>
    <w:pPr>
      <w:ind w:left="540"/>
      <w:outlineLvl w:val="3"/>
    </w:pPr>
    <w:rPr>
      <w:rFonts w:ascii="宋体" w:hAnsi="宋体" w:eastAsia="宋体" w:cs="宋体"/>
      <w:b/>
      <w:bCs/>
      <w:sz w:val="24"/>
      <w:szCs w:val="24"/>
      <w:lang w:val="zh-CN" w:eastAsia="zh-CN" w:bidi="zh-CN"/>
    </w:rPr>
  </w:style>
  <w:style w:type="character" w:default="1" w:styleId="8">
    <w:name w:val="Default Paragraph Font"/>
    <w:semiHidden/>
    <w:unhideWhenUsed/>
    <w:uiPriority w:val="1"/>
  </w:style>
  <w:style w:type="table" w:default="1" w:styleId="7">
    <w:name w:val="Normal Table"/>
    <w:semiHidden/>
    <w:uiPriority w:val="0"/>
    <w:tblPr>
      <w:tblCellMar>
        <w:top w:w="0" w:type="dxa"/>
        <w:left w:w="108" w:type="dxa"/>
        <w:bottom w:w="0" w:type="dxa"/>
        <w:right w:w="108" w:type="dxa"/>
      </w:tblCellMar>
    </w:tblPr>
  </w:style>
  <w:style w:type="paragraph" w:styleId="5">
    <w:name w:val="Body Text"/>
    <w:basedOn w:val="1"/>
    <w:qFormat/>
    <w:uiPriority w:val="1"/>
    <w:pPr>
      <w:ind w:left="540"/>
    </w:pPr>
    <w:rPr>
      <w:rFonts w:ascii="宋体" w:hAnsi="宋体" w:eastAsia="宋体" w:cs="宋体"/>
      <w:sz w:val="24"/>
      <w:szCs w:val="24"/>
      <w:lang w:val="zh-CN" w:eastAsia="zh-CN" w:bidi="zh-CN"/>
    </w:rPr>
  </w:style>
  <w:style w:type="paragraph" w:styleId="6">
    <w:name w:val="toc 1"/>
    <w:basedOn w:val="1"/>
    <w:next w:val="1"/>
    <w:qFormat/>
    <w:uiPriority w:val="1"/>
    <w:pPr>
      <w:spacing w:before="158"/>
      <w:ind w:left="540"/>
    </w:pPr>
    <w:rPr>
      <w:rFonts w:ascii="宋体" w:hAnsi="宋体" w:eastAsia="宋体" w:cs="宋体"/>
      <w:sz w:val="24"/>
      <w:szCs w:val="24"/>
      <w:lang w:val="zh-CN" w:eastAsia="zh-CN" w:bidi="zh-CN"/>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540" w:hanging="602"/>
    </w:pPr>
    <w:rPr>
      <w:rFonts w:ascii="宋体" w:hAnsi="宋体" w:eastAsia="宋体" w:cs="宋体"/>
      <w:lang w:val="zh-CN" w:eastAsia="zh-CN" w:bidi="zh-CN"/>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120</Pages>
  <Words>57639</Words>
  <Characters>60114</Characters>
  <TotalTime>2</TotalTime>
  <ScaleCrop>false</ScaleCrop>
  <LinksUpToDate>false</LinksUpToDate>
  <CharactersWithSpaces>62376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2023-07-23T07:57:00Z</dcterms:created>
  <dc:creator>1 / 2</dc:creator>
  <cp:lastModifiedBy>Lenovo</cp:lastModifiedBy>
  <dcterms:modified xsi:type="dcterms:W3CDTF">2023-07-31T07:31:08Z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Creator">
    <vt:lpwstr>WPS 文字</vt:lpwstr>
  </property>
  <property fmtid="{D5CDD505-2E9C-101B-9397-08002B2CF9AE}" pid="4" name="LastSaved">
    <vt:filetime>2023-07-23T00:00:00Z</vt:filetime>
  </property>
  <property fmtid="{D5CDD505-2E9C-101B-9397-08002B2CF9AE}" pid="5" name="KSOProductBuildVer">
    <vt:lpwstr>2052-11.1.0.14309</vt:lpwstr>
  </property>
  <property fmtid="{D5CDD505-2E9C-101B-9397-08002B2CF9AE}" pid="6" name="ICV">
    <vt:lpwstr>525A9C1CD7914E44889044D4629144A2_13</vt:lpwstr>
  </property>
</Properties>
</file>