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黑体" w:hAnsi="黑体" w:eastAsia="黑体" w:cs="黑体"/>
          <w:color w:val="000000"/>
          <w:spacing w:val="20"/>
          <w:kern w:val="0"/>
          <w:sz w:val="32"/>
          <w:szCs w:val="32"/>
          <w:lang w:eastAsia="zh-CN"/>
        </w:rPr>
      </w:pPr>
      <w:r>
        <w:rPr>
          <w:rFonts w:hint="eastAsia" w:ascii="黑体" w:hAnsi="黑体" w:eastAsia="黑体" w:cs="黑体"/>
          <w:color w:val="000000"/>
          <w:spacing w:val="20"/>
          <w:kern w:val="0"/>
          <w:sz w:val="32"/>
          <w:szCs w:val="32"/>
          <w:lang w:eastAsia="zh-CN"/>
        </w:rPr>
        <w:t>附　件</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cs="黑体"/>
          <w:color w:val="000000"/>
          <w:spacing w:val="20"/>
          <w:kern w:val="0"/>
          <w:sz w:val="32"/>
          <w:szCs w:val="32"/>
          <w:lang w:eastAsia="zh-CN"/>
        </w:rPr>
      </w:pPr>
    </w:p>
    <w:p>
      <w:pPr>
        <w:spacing w:line="600" w:lineRule="exact"/>
        <w:jc w:val="center"/>
        <w:rPr>
          <w:rFonts w:hint="eastAsia" w:ascii="黑体" w:hAnsi="黑体" w:eastAsia="黑体" w:cs="黑体"/>
          <w:color w:val="000000"/>
          <w:spacing w:val="20"/>
          <w:kern w:val="0"/>
          <w:sz w:val="32"/>
          <w:szCs w:val="32"/>
          <w:lang w:eastAsia="zh-CN"/>
        </w:rPr>
      </w:pPr>
      <w:bookmarkStart w:id="0" w:name="_GoBack"/>
      <w:r>
        <w:rPr>
          <w:rFonts w:hint="eastAsia" w:ascii="方正小标宋简体" w:hAnsi="方正小标宋简体" w:eastAsia="方正小标宋简体" w:cs="方正小标宋简体"/>
          <w:i w:val="0"/>
          <w:color w:val="000000"/>
          <w:kern w:val="0"/>
          <w:sz w:val="44"/>
          <w:szCs w:val="44"/>
          <w:u w:val="none"/>
          <w:lang w:val="en-US" w:eastAsia="zh-CN" w:bidi="ar"/>
        </w:rPr>
        <w:t>商城县行政许可事项清单（2022年版）</w:t>
      </w:r>
    </w:p>
    <w:bookmarkEnd w:id="0"/>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cs="黑体"/>
          <w:color w:val="000000"/>
          <w:spacing w:val="20"/>
          <w:kern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Theme="majorEastAsia" w:hAnsiTheme="majorEastAsia" w:eastAsiaTheme="majorEastAsia" w:cstheme="majorEastAsia"/>
          <w:i w:val="0"/>
          <w:color w:val="000000"/>
          <w:kern w:val="0"/>
          <w:sz w:val="21"/>
          <w:szCs w:val="21"/>
          <w:u w:val="none"/>
          <w:lang w:val="en-US" w:eastAsia="zh-CN" w:bidi="ar"/>
        </w:rPr>
      </w:pPr>
    </w:p>
    <w:tbl>
      <w:tblPr>
        <w:tblStyle w:val="3"/>
        <w:tblW w:w="148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12"/>
        <w:gridCol w:w="1408"/>
        <w:gridCol w:w="2758"/>
        <w:gridCol w:w="2490"/>
        <w:gridCol w:w="72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7" w:hRule="atLeast"/>
          <w:jc w:val="center"/>
        </w:trPr>
        <w:tc>
          <w:tcPr>
            <w:tcW w:w="14836"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（共281项）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b/>
                <w:bCs/>
                <w:i w:val="0"/>
                <w:color w:val="000000"/>
                <w:sz w:val="21"/>
                <w:szCs w:val="21"/>
                <w:u w:val="none"/>
              </w:rPr>
            </w:pPr>
            <w:r>
              <w:rPr>
                <w:rFonts w:hint="eastAsia" w:asciiTheme="majorEastAsia" w:hAnsiTheme="majorEastAsia" w:eastAsiaTheme="majorEastAsia" w:cstheme="majorEastAsia"/>
                <w:b/>
                <w:bCs/>
                <w:i w:val="0"/>
                <w:color w:val="000000"/>
                <w:kern w:val="0"/>
                <w:sz w:val="21"/>
                <w:szCs w:val="21"/>
                <w:u w:val="none"/>
                <w:lang w:val="en-US" w:eastAsia="zh-CN" w:bidi="ar"/>
              </w:rPr>
              <w:t>序号</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b/>
                <w:bCs/>
                <w:i w:val="0"/>
                <w:color w:val="000000"/>
                <w:sz w:val="21"/>
                <w:szCs w:val="21"/>
                <w:u w:val="none"/>
              </w:rPr>
            </w:pPr>
            <w:r>
              <w:rPr>
                <w:rFonts w:hint="eastAsia" w:asciiTheme="majorEastAsia" w:hAnsiTheme="majorEastAsia" w:eastAsiaTheme="majorEastAsia" w:cstheme="majorEastAsia"/>
                <w:b/>
                <w:bCs/>
                <w:i w:val="0"/>
                <w:color w:val="000000"/>
                <w:kern w:val="0"/>
                <w:sz w:val="21"/>
                <w:szCs w:val="21"/>
                <w:u w:val="none"/>
                <w:lang w:val="en-US" w:eastAsia="zh-CN" w:bidi="ar"/>
              </w:rPr>
              <w:t>主管部门</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b/>
                <w:bCs/>
                <w:i w:val="0"/>
                <w:color w:val="000000"/>
                <w:sz w:val="21"/>
                <w:szCs w:val="21"/>
                <w:u w:val="none"/>
              </w:rPr>
            </w:pPr>
            <w:r>
              <w:rPr>
                <w:rFonts w:hint="eastAsia" w:asciiTheme="majorEastAsia" w:hAnsiTheme="majorEastAsia" w:eastAsiaTheme="majorEastAsia" w:cstheme="majorEastAsia"/>
                <w:b/>
                <w:bCs/>
                <w:i w:val="0"/>
                <w:color w:val="000000"/>
                <w:kern w:val="0"/>
                <w:sz w:val="21"/>
                <w:szCs w:val="21"/>
                <w:u w:val="none"/>
                <w:lang w:val="en-US" w:eastAsia="zh-CN" w:bidi="ar"/>
              </w:rPr>
              <w:t>事项名称</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b/>
                <w:bCs/>
                <w:i w:val="0"/>
                <w:color w:val="000000"/>
                <w:sz w:val="21"/>
                <w:szCs w:val="21"/>
                <w:u w:val="none"/>
              </w:rPr>
            </w:pPr>
            <w:r>
              <w:rPr>
                <w:rFonts w:hint="eastAsia" w:asciiTheme="majorEastAsia" w:hAnsiTheme="majorEastAsia" w:eastAsiaTheme="majorEastAsia" w:cstheme="majorEastAsia"/>
                <w:b/>
                <w:bCs/>
                <w:i w:val="0"/>
                <w:color w:val="000000"/>
                <w:kern w:val="0"/>
                <w:sz w:val="21"/>
                <w:szCs w:val="21"/>
                <w:u w:val="none"/>
                <w:lang w:val="en-US" w:eastAsia="zh-CN" w:bidi="ar"/>
              </w:rPr>
              <w:t>实施机关</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b/>
                <w:bCs/>
                <w:i w:val="0"/>
                <w:color w:val="000000"/>
                <w:sz w:val="21"/>
                <w:szCs w:val="21"/>
                <w:u w:val="none"/>
              </w:rPr>
            </w:pPr>
            <w:r>
              <w:rPr>
                <w:rFonts w:hint="eastAsia" w:asciiTheme="majorEastAsia" w:hAnsiTheme="majorEastAsia" w:eastAsiaTheme="majorEastAsia" w:cstheme="majorEastAsia"/>
                <w:b/>
                <w:bCs/>
                <w:i w:val="0"/>
                <w:color w:val="000000"/>
                <w:kern w:val="0"/>
                <w:sz w:val="21"/>
                <w:szCs w:val="21"/>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1483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楷体_GB2312" w:hAnsi="楷体_GB2312" w:eastAsia="楷体_GB2312" w:cs="楷体_GB2312"/>
                <w:b/>
                <w:bCs/>
                <w:i w:val="0"/>
                <w:color w:val="000000"/>
                <w:kern w:val="0"/>
                <w:sz w:val="21"/>
                <w:szCs w:val="21"/>
                <w:u w:val="none"/>
                <w:lang w:val="en-US" w:eastAsia="zh-CN" w:bidi="ar"/>
              </w:rPr>
              <w:t>第一部分：中央层面设定县级及以下实施的行政许可事项（共275项）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县档案局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延期移交档案审批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县档案局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《中华人民共和国档案法实施办法》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民办、中外合作开办中等及以下学校和其他教育机构筹设审批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《中华人民共和国民办教育促进法》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《中华人民共和国中外合作办学条例》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《国务院关于当前发展学前教育的若干意见》（国发〔2010〕41号）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《河南省人民政府办公厅关于印发省人民政府第三批取消和下放的行政审批事项的通知》（豫政办〔2001〕3号）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中等及以下学校和其他教育机构设置审批</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《中华人民共和国教育法》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《中华人民共和国民办教育促进法》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《中华人民共和国民办教育促进法实施条例》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lang w:val="en-US" w:eastAsia="zh-CN"/>
              </w:rPr>
            </w:pPr>
            <w:r>
              <w:rPr>
                <w:rFonts w:hint="eastAsia" w:asciiTheme="majorEastAsia" w:hAnsiTheme="majorEastAsia" w:eastAsiaTheme="majorEastAsia" w:cstheme="majorEastAsia"/>
                <w:i w:val="0"/>
                <w:color w:val="000000"/>
                <w:sz w:val="21"/>
                <w:szCs w:val="21"/>
                <w:u w:val="none"/>
                <w:lang w:val="en-US" w:eastAsia="zh-CN"/>
              </w:rPr>
              <w:t>3</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中等及以下学校和其他教育机构设置审批</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《中华人民共和国中外合作办学条例》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《国务院关于当前发展学前教育的若干意见》（国发〔2010〕41号）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《国务院办公厅关于规范校外培训机构发展的意见》（国办发〔2018〕80号）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《河南省人民政府办公厅关于印发省人民政府第三批取消和下放的行政审批事项的通知》（豫政办〔2001〕3号）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从事文艺、体育等专业训练的社会组织自行实施义务教育审批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《中华人民共和国义务教育法》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校车使用许可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县级政府（由教育部门会同公安机关、交通运输部门</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《校车安全管理条例》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教师资格认定</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《中华人民共和国教师法》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《教师资格条例》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适龄儿童、少年因身体状况需要延缓入学或者休学审批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县教体局；乡镇政府</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《中华人民共和国义务教育法》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举办健身气功活动及设立站点审批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《健身气功管理办法》（体育总局令2006年第9号）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《国务院关于第五批取消和下放管理层级行政审批项目的决定》（国发〔2010〕21号）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高危险性体育项目经营许可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《全民健身条例》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《国务院关于取消和下放一批行政审批项目等事项的决定》（国发〔2013〕19号）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《信阳市人民政府关于取消下放调整合并行政审批项目的决定》（信政〔2015〕14号）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临时占用公共体育设施审批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县教体局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《中华人民共和国体育法》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《信阳市人民政府关于取消下放调整合并行政审批项目的决定》（信政〔2015〕14号）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关闭、闲置、拆除城市环境卫生设施许可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《中华人民共和国固体废物污染环境防治法》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拆除环境卫生设施许可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从事城市生活垃圾经营性清扫、收集、运输、处理服务</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城市建筑垃圾处置核准</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2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《信阳市人民政府关于印发信阳市推进城市管理执法体制改革改进城市管理工作实施方案的通知》（信政文〔2017〕96号）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城镇污水排入排水管网许可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《城镇排水与污水处理条例》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拆除、改动、迁移城市公共供水设施审核</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《城市供水条例》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4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拆除、改动城镇排水与污水处理设施审核</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《城镇排水与污水处理条例》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3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由于工程施工、设备维修等原因确需停止供水的审批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《城市供水条例》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燃气经营许可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《城镇燃气管理条例》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燃气经营者改动市政燃气设施审批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《城镇燃气管理条例》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《国务院关于第六批取消和调整行政审批项目的决定》（国发〔2012〕52号）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市政设施建设类审批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《城市道路管理条例》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特殊车辆在城市道路上行驶审批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《城市道路管理条例》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2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改变绿化规划、绿化用地的使用性质审批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4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工程建设涉及城市绿地、树木审批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《城市绿化条例》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设置大型户外广告及在城市建筑物、设施上悬挂、张贴宣传品审批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临时性建筑物搭建、堆放物料、占道施工审批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县城市管理局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《信阳市人民政府关于取消下放调整合并行政审项目的决定》（信政〔2015〕14号）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社会团体成立、变更、注销登记及修改章程核准</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县民政局（实行登记管理机关和业务主管单位双重负责管理体制的，由有关业务主管单位实施前置审查）；县级民政部门（实行登记管理机关和业务主管单位双重负责管理体制的，由有关业务主管单位实施前置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审查）</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《社会团体登记管理条例》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1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民办非企业单位成立、变更、注销登记及修改章程核准</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县民政局（实行登记管理机关和业务主管单位双重负责管理体制的，由有关业务主管单位实施前置审查）；县级民政部门（实行登记管理机关和业务主管单位双重负责管理体制的，由有关业务主管单位实施前置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审查）</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《民办非企业单位登记管理暂行条例》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宗教活动场所法人成立、</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变更、注销登记</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县民政局（由县级宗教部门实施前置审查）</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慈善组织公开募捐资格审批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《中华人民共和国慈善法》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殡葬设施建设审批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县政府、县民政局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《殡葬管理条例》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地名命名、更名审批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县民政局、县级有关部门</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《地名管理条例》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县税务局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增值税防伪税控系统最高</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开票限额审批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县税务局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县气象局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雷电防护装置设计审核</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县气象局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《气象灾害防御条例》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《河南省人民政府关于取消下放调整和保留行政审批项目的决定》（豫政[2012]35号）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县气象局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雷电防护装置竣工验收</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县气象局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《气象灾害防御条例》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《河南省人民政府关于取消下放调整和保留行政审批项目的决定》（豫政[2012]35号）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县气象局</w:t>
            </w:r>
          </w:p>
        </w:tc>
        <w:tc>
          <w:tcPr>
            <w:tcW w:w="2758"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升放无人驾驶自由气球或者系留气球活动审批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县气象局会同有关部门</w:t>
            </w:r>
          </w:p>
        </w:tc>
        <w:tc>
          <w:tcPr>
            <w:tcW w:w="7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《通用航空飞行管制条例》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jc w:val="center"/>
        </w:trPr>
        <w:tc>
          <w:tcPr>
            <w:tcW w:w="912" w:type="dxa"/>
            <w:vMerge w:val="continue"/>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《国务院关于第六批取消和调整行政审批项目的决定》（国发〔2012〕52号）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《气象行政许可实施办法》（中国气象局令第33号）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0" w:hRule="atLeast"/>
          <w:jc w:val="center"/>
        </w:trPr>
        <w:tc>
          <w:tcPr>
            <w:tcW w:w="912" w:type="dxa"/>
            <w:vMerge w:val="continue"/>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《河南省施放气球资质管理办法》（豫气发〔2008〕106号）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固定资产投资项目核准（含国发〔2016〕72号文件规定的外商投资项目）</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县政府（由县发展改革委</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《企业投资项目核准和备案管理条例》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《国务院关于发布政府核准的投资项目目录（2016年本）的通知》（国发〔2016〕72号）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《河南省人民政府办公厅关于发布政府核准的投资项目目录（河南省2017年本）的通知》（豫政办〔2017〕56号）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固定资产投资项目节能审查</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《中华人民共和国节约能源法》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《固定资产投资项目节能审查办法》（国家发展改革委令2016年第44号）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39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在电力设施周围或者电力设施保护区内进行可能危及电力设施安全作业审批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《中华人民共和国电力法》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《电力设施保护条例》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40</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新建不能满足管道保护要求的石油天然气管道防护方案审批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《中华人民共和国石油天然气管道保护法》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41</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可能影响石油天然气管道保护的施工作业审批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县发展改革委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《中华人民共和国石油天然气管道保护法》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县农机技术</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中心</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拖拉机和联合收割机驾驶证核发</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商城县农机监理站</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《农业机械安全监督管理条例》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县农机技术</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中心</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拖拉机和联合收割机登记</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商城县农机监理站</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《农业机械安全监督管理条例》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县委编办</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事业单位登记</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县事业单位登记中心</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《事业单位登记管理暂行条例》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《事业单位登记管理暂行条例实施细则》（中央编办发〔2014〕4号）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4"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职业培训学校筹设审批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《中华人民共和国民办教育促进法》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职业培训学校办学许可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《中华人民共和国民办教育促进法》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人力资源服务许可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《中华人民共和国就业促进法》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《人力资源市场暂行条例》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劳务派遣经营许可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《中华人民共和国劳动合同法》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《劳务派遣行政许可实施办法》（人力资源社会保障部令第19号）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49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企业实行不定时工作制和综合计算工时工作制审批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《中华人民共和国劳动法》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《关于企业实行不定时工作制和综合计算工时工作制的审批办法》（劳部发〔1994〕503号）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50</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宗教活动场所筹备设立审批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宗教活动场所设立、变更、</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注销登记</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宗教活动场所内改建或者新建建筑物许可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（部分为初审）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《宗教事务部分行政许可项目实施办法》（国宗发〔2018〕11号）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left"/>
              <w:rPr>
                <w:rFonts w:hint="eastAsia" w:asciiTheme="majorEastAsia" w:hAnsiTheme="majorEastAsia" w:eastAsiaTheme="majorEastAsia" w:cstheme="maj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宗教临时活动地点审批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1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54</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宗教团体、宗教院校、宗教活动场所接受境外捐赠审批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《宗教事务条例》</w:t>
            </w:r>
            <w:r>
              <w:rPr>
                <w:rFonts w:hint="eastAsia" w:asciiTheme="majorEastAsia" w:hAnsiTheme="majorEastAsia" w:eastAsiaTheme="majorEastAsia" w:cstheme="majorEastAsia"/>
                <w:i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color w:val="000000"/>
                <w:kern w:val="0"/>
                <w:sz w:val="21"/>
                <w:szCs w:val="21"/>
                <w:u w:val="none"/>
                <w:lang w:val="en-US" w:eastAsia="zh-CN" w:bidi="ar"/>
              </w:rPr>
              <w:t>《宗教事务部分行政许可项目实施办法》（国宗发〔2018〕11号）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县新闻出版局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出版物零售业务经营许可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县新闻出版局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《出版管理条例》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县委宣传部</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电影放映单位设立审批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县级电影部门</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《中华人民共和国电影产业促进法》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《电影管理条例》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《外商投资电影院暂行规定》（广播电影电视总局、商务部、文化部令第21号公布，广播电影电视总局令第51号修正）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《河南省人民政府关于取消和调整行政审批项目的决定》（豫政〔2013〕58号）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县司法局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律师执业、变更执业机构许可（含香港、澳门永久性居民中的中国居民及台湾居民申请律师执业、变更执业机构）</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县司法局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《中华人民共和国律师法》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6"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县司法局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基层法律服务工作者执业</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核准</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县司法局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《国务院关于第六批取消和调整行政审批项目的决定》（国发〔2012〕52号）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59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县司法局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律师事务所及分所设立、</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变更、注销许可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县司法局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《中华人民共和国律师法》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水利基建项目初步设计文件审批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取水许可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《取水许可和水资源费征收管理条例》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洪水影响评价类审批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《中华人民共和国防洪法》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《中华人民共和国河道管理条例》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《中华人民共和国水文条例》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河道管理范围内特定活动</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《中华人民共和国河道管理条例》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河道采砂许可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《中华人民共和国长江保护法》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《中华人民共和国河道管理条例》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《长江河道采砂管理条例》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《河南省河道采砂管理办法》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生产建设项目水土保持方案审批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《中华人民共和国水土保持法》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农村集体经济组织修建水库审批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城市建设填堵水域、废除围堤审批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县政府</w:t>
            </w:r>
            <w:r>
              <w:rPr>
                <w:rFonts w:hint="eastAsia" w:asciiTheme="majorEastAsia" w:hAnsiTheme="majorEastAsia" w:eastAsiaTheme="majorEastAsia" w:cstheme="majorEastAsia"/>
                <w:i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color w:val="000000"/>
                <w:kern w:val="0"/>
                <w:sz w:val="21"/>
                <w:szCs w:val="21"/>
                <w:u w:val="none"/>
                <w:lang w:val="en-US" w:eastAsia="zh-CN" w:bidi="ar"/>
              </w:rPr>
              <w:t>（由县水利局承办）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《中华人民共和国防洪法》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占用农业灌溉水源、灌排工程设施审批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69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利用堤顶、戗台兼做公路审批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《中华人民共和国河道管理条例》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坝顶兼做公路审批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《水库大坝安全管理条例》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大坝管理和保护范围内修建码头、鱼塘许可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县水利局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《水库大坝安全管理条例》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建筑业企业资质认定</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县住房和城乡建设局（涉及公路、水运、水利、电子通信、铁路、民航总承包和专业承包资质的，审批时征求有关行业主管部门意见）</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《中华人民共和国建筑法》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《建设工程质量管理条例》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《建筑业企业资质管理规定》（住房城乡建设部令第22号公布，住房城乡建设部令第45号修正）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河南省人民政府关于支持南阳以高效生态经济为引领建设省域副中心城县的若干意见》（豫发〔2022〕20号）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工程监理企业资质认定</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县住房和城乡建设局（涉及电子通信、铁路、民航专业资质的，审批时征求有关行业主管部门意见）</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《中华人民共和国建筑法》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《建设工程质量管理条例》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《工程监理企业资质管理规定》（建设部令第158号公布，住房城乡建设部令第45号修正）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《国务院关于深化“证照分离”改革进一步激发县场主体发展活力的通知》（国发〔2021〕7号）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建筑工程施工许可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《中华人民共和国建筑法》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《建筑工程施工许可管理办法》（住房城乡建设部令第18号公布，住房城乡建设部令第52号修正）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商品房预售许可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《中华人民共和国城县房地产管理法》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76</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房地产开发企业</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资质核定</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《城县房地产开发经营管理条例》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autoSpaceDN/>
              <w:bidi w:val="0"/>
              <w:adjustRightInd/>
              <w:snapToGrid/>
              <w:spacing w:line="280" w:lineRule="exact"/>
              <w:jc w:val="left"/>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《房地产开发企业资质管理规定》（建设部令第77号公布，住房和城乡建设部令第45号修正）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85"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autoSpaceDN/>
              <w:bidi w:val="0"/>
              <w:adjustRightInd/>
              <w:snapToGrid/>
              <w:spacing w:line="280" w:lineRule="exact"/>
              <w:jc w:val="left"/>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《河南省人民代表大会常务委员会关于向郑州县洛阳县下放部分省级经济社会管理权限的决定》（2020年9月26日河南省第十三届人民代表大会常务委员会第二十次会议通过）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20"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autoSpaceDN/>
              <w:bidi w:val="0"/>
              <w:adjustRightInd/>
              <w:snapToGrid/>
              <w:spacing w:line="280" w:lineRule="exact"/>
              <w:jc w:val="left"/>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《河南省人民政府关于向郑州县洛阳县和郑州航空港经济综合实验区下放部分省级经济社会管理权限的通知》（豫政〔2021〕9号）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6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default" w:asciiTheme="majorEastAsia" w:hAnsiTheme="majorEastAsia" w:eastAsiaTheme="majorEastAsia" w:cstheme="majorEastAsia"/>
                <w:i w:val="0"/>
                <w:color w:val="000000"/>
                <w:sz w:val="21"/>
                <w:szCs w:val="21"/>
                <w:u w:val="none"/>
                <w:lang w:val="en-US" w:eastAsia="zh-CN"/>
              </w:rPr>
            </w:pPr>
            <w:r>
              <w:rPr>
                <w:rFonts w:hint="eastAsia" w:asciiTheme="majorEastAsia" w:hAnsiTheme="majorEastAsia" w:eastAsiaTheme="majorEastAsia" w:cstheme="majorEastAsia"/>
                <w:i w:val="0"/>
                <w:color w:val="000000"/>
                <w:sz w:val="21"/>
                <w:szCs w:val="21"/>
                <w:u w:val="none"/>
                <w:lang w:val="en-US" w:eastAsia="zh-CN"/>
              </w:rPr>
              <w:t>76</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房地产开发企业</w:t>
            </w:r>
          </w:p>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资质核定</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0"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河南省人民政府关于支持南阳以高效生态经济为引领建设省域副中心城县的若干意见》（豫发〔2022〕20号）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建设工程消防设计审查</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《中华人民共和国消防法》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《建设工程消防设计审查验收管理暂行规定》（住房城乡建设部令第51号）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建设工程消防验收</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《中华人民共和国消防法》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《建设工程消防设计审查验收管理暂行规定》（住房城乡建设部令第51号）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79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建筑起重机械使用登记</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县住房和城乡建设局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《中华人民共和国特种设备安全法》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《建设工程安全生产管理条例》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8"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饮用水供水单位卫生许可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《中华人民共和国传染病防治法》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8"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公共场所卫生许可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《公共场所卫生管理条例》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医疗机构建设项目放射性职业病危害预评价报告审核</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《中华人民共和国职业病防治法》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《放射诊疗管理规定》（卫生部令第46号公布，国家卫生计生委令第8号修正）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医疗机构建设项目放射性职业病防护设施竣工验收</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《中华人民共和国职业病防治法》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《放射诊疗管理规定》（卫生部令第46号公布，国家卫生计生委令第8号修正）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医疗机构设置审批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医疗机构执业登记</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母婴保健技术服务机构执业许可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《中华人民共和国母婴保健法》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《中华人民共和国母婴保健法实施办法》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1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《母婴保健专项技术服务许可及人员资格管理办法》（卫妇发〔1995〕7号公布，国家卫生健康委令第7号修正）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放射源诊疗技术和医用辐射机构许可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《放射性同位素与射线装置安全和防护条例》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《放射诊疗管理规定》（卫生部令第46号公布，国家卫生计生委令第8号修正）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医疗机构购用麻醉药品、第一类精神药品许可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《中华人民共和国禁毒法》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《麻醉药品和精神药品管理条例》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8"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89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单采血浆站设置审批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《血液制品管理条例》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8"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医师执业注册</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《中华人民共和国医师法》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8"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《医师执业注册管理办法》（国家卫生计生委令第13号）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8"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乡村医生执业注册</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《乡村医生从业管理条例》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母婴保健服务人员资格认定</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《中华人民共和国母婴保健法》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《中华人民共和国母婴保健法实施办法》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《母婴保健专项技术服务许可及人员资格管理办法》（卫妇发〔1995〕7号公布，国家卫生健康委令第7号修正）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护士执业注册</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《护士条例》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医疗广告审查</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《中华人民共和国广告法》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《医疗广告管理办法》（国家工商局、卫生部令第16号公布，工商总局、卫生部令第26号修正）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确有专长的中医医师资格</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认定</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县卫生健康委（受理并逐级上报至省中医管理局）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《中华人民共和国中医药法》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《中医医术确有专长人员医师资格考核注册管理暂行办法》（国家卫生计生委令第15号）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确有专长的中医医师执业</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注册</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《中华人民共和国中医药法》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《中医医术确有专长人员医师资格考核注册管理暂行办法》（国家卫生计生委令第15号）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中医医疗机构设置审批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《中华人民共和国中医药法》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中医医疗机构执业登记</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县卫生健康委</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《中华人民共和国中医药法》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99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公路建设项目设计文件审批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《中华人民共和国公路法》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《建设工程质量管理条例》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《建设工程勘察设计管理条例》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《农村公路建设管理办法》（交通运输部令2018年第4号）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公路建设项目施工许可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《中华人民共和国公路法》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《公路建设市场管理办法》（交通部令2004年第14号公布，交通运输部令2015年第11号修正）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4"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公路建设项目竣工验收</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《中华人民共和国公路法》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《收费公路管理条例》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《公路工程竣（交）工验收办法》（交通部令2004年第3号）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《农村公路建设管理办法》（交通运输部令2018年第4号）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公路超限运输许可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《中华人民共和国公路法》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《公路安全保护条例》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涉路施工许可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《中华人民共和国公路法》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《公路安全保护条例》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《路政管理规定》（交通部令2003年第2号公布，交通运输部令2016年第81号修正）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更新采伐护路林审批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《中华人民共和国公路法》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《公路安全保护条例》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3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《路政管理规定》（交通部令2003年第2号公布，交通运输部令2016年第81号修正）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道路旅客运输经营许可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《中华人民共和国道路运输条例》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道路旅客运输站经营许可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《中华人民共和国道路运输条例》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道路货物运输经营许可（除使用4500千克及以下普通货运车辆从事普通货运经营外）</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《中华人民共和国道路运输条例》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《道路货物运输及站场管理规定》（交通部令2005年第6号公布，交通运输部令2019年第17号修正）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出租汽车经营许可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2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《巡游出租汽车经营服务管理规定》（交通运输部令2014年第16号公布，交通运输部令2021年第16号修正）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2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网络预约出租汽车经营服务管理暂行办法》（交通运输部、工业和信息化部、公安部、商务部、工商总局、质检总局、国家网信办令2016年第60号公布，交通运输部、工业和信息化部、公安部、商务部、市场监管总局、国家网信办令2019年第46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109</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出租汽车车辆运营证核发</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《巡游出租汽车经营服务管理规定》（交通运输部令2014年第16号公布，交通运输部令2021年第16号修正）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3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default" w:asciiTheme="majorEastAsia" w:hAnsiTheme="majorEastAsia" w:eastAsiaTheme="majorEastAsia" w:cstheme="majorEastAsia"/>
                <w:i w:val="0"/>
                <w:color w:val="000000"/>
                <w:sz w:val="21"/>
                <w:szCs w:val="21"/>
                <w:u w:val="none"/>
                <w:lang w:val="en-US" w:eastAsia="zh-CN"/>
              </w:rPr>
            </w:pPr>
            <w:r>
              <w:rPr>
                <w:rFonts w:hint="eastAsia" w:asciiTheme="majorEastAsia" w:hAnsiTheme="majorEastAsia" w:eastAsiaTheme="majorEastAsia" w:cstheme="majorEastAsia"/>
                <w:i w:val="0"/>
                <w:color w:val="000000"/>
                <w:sz w:val="21"/>
                <w:szCs w:val="21"/>
                <w:u w:val="none"/>
                <w:lang w:val="en-US" w:eastAsia="zh-CN"/>
              </w:rPr>
              <w:t>109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出租汽车车辆运营证核发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网络预约出租汽车经营服务管理暂行办法》（交通运输部、工业和信息化部、公安部、商务部、工商总局、质检总局、国家网信办令2016年第60号公布，交通运输部、工业和信息化部、公安部、商务部、市场监管总局、国家网信办令2019年第46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港口岸线使用审批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《中华人民共和国港口法》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《港口岸线使用审批管理办法》（交通运输部、国家发展改革委令2012年第6号公布，交通运输部令2018年第5号修正）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111</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水运建设项目设计文件审批</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《中华人民共和国港口法》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《中华人民共和国航道法》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111</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水运建设项目设计文件审批</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《中华人民共和国航道管理条例》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《建设工程质量管理条例》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《建设工程勘察设计管理条例》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通航建筑物运行方案审批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《中华人民共和国航道法》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《通航建筑物运行管理办法》（交通运输部令2019年第6号）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113</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水运工程建设项目竣工验收</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《中华人民共和国港口法》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《中华人民共和国航道法》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《中华人民共和国航道管理条例》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7"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113</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水运工程建设项目竣工验收</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《港口工程建设管理规定》（交通运输部令2018年第2号公布，交通运输部令2019年第32号修正）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7"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《航道工程建设管理规定》（交通运输部令2019年第44号）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7"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7"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国内水路运输经营许可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《国内水路运输管理条例》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7"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《国内水路运输管理规定》（交通运输部令2014年第2号公布，交通运输部令2020年第4号修正）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7"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新增国内客船、危险品船运力审批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《国内水路运输管理条例》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《国内水路运输管理规定》（交通运输部令2014年第2号公布，交通运输部令2020年第4号修正）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经营国内船舶管理业务审批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《国内水路运输管理条例》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《国内水路运输辅助业管理规定》（交通运输部令2014年第3号）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港口经营许可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《中华人民共和国港口法》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危险货物港口建设项目安全条件审查</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《中华人民共和国港口法》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《港口危险货物安全管理规定》（交通运输部令2017年第2号公布，交通运输部令2019年第34号修正）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119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危险货物港口建设项目安全设施设计审查</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《中华人民共和国港口法》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《港口危险货物安全管理规定》（交通运输部令2017年第2号公布，交通运输部令2019年第34号修正）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港口采掘、爆破施工作业许可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《中华人民共和国港口法》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港口内进行危险货物的装卸、过驳作业许可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《中华人民共和国港口法》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《港口危险货物安全管理规定》（交通运输部令2017年第2号公布，交通运输部令2019年第34号修正）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在内河通航水域载运、拖带超重、超长、超高、超宽、半潜物体或者拖放竹、木等物体</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《交通运输部办公厅关于全面推行直属海事系统权责清单制度的通知》（交办海〔2018〕19号）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内河专用航标设置、撤除、位置移动和其他状况改变审批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《中华人民共和国航标条例》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《中华人民共和国航道管理条例》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船舶进行散装液体污染危害性货物或者危险货物过驳作业许可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《中华人民共和国海洋环境保护法》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《中华人民共和国海上交通安全法》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《防治船舶污染海洋环境管理条例》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《交通运输部办公厅关于全面推行直属海事系统权责清单制度的通知》（交办海〔2018〕19号）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125</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船舶载运污染危害性货物或者危险货物进出港口许可</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《中华人民共和国海洋环境保护法》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《中华人民共和国海上交通安全法》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default" w:asciiTheme="majorEastAsia" w:hAnsiTheme="majorEastAsia" w:eastAsiaTheme="majorEastAsia" w:cstheme="majorEastAsia"/>
                <w:i w:val="0"/>
                <w:color w:val="000000"/>
                <w:sz w:val="21"/>
                <w:szCs w:val="21"/>
                <w:u w:val="none"/>
                <w:lang w:val="en-US" w:eastAsia="zh-CN"/>
              </w:rPr>
            </w:pPr>
            <w:r>
              <w:rPr>
                <w:rFonts w:hint="eastAsia" w:asciiTheme="majorEastAsia" w:hAnsiTheme="majorEastAsia" w:eastAsiaTheme="majorEastAsia" w:cstheme="majorEastAsia"/>
                <w:i w:val="0"/>
                <w:color w:val="000000"/>
                <w:sz w:val="21"/>
                <w:szCs w:val="21"/>
                <w:u w:val="none"/>
                <w:lang w:val="en-US" w:eastAsia="zh-CN"/>
              </w:rPr>
              <w:t>125</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船舶载运污染危害性货物或者危险货物进出港口许可</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《防治船舶污染海洋环境管理条例》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《交通运输部办公厅关于全面推行直属海事系统权责清单制度的通知》（交办海〔2018〕19号）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海域或者内河通航水域、岸线施工作业许可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《中华人民共和国海上交通安全法》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船舶国籍登记</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《中华人民共和国海上交通安全法》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《中华人民共和国船舶登记条例》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《交通运输部办公厅关于全面推行直属海事系统权责清单制度的通知》（交办海〔2018〕19号）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经营性客运驾驶员从业资格认定</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《中华人民共和国道路运输条例》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129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经营性货运驾驶员从业资格认定（除使用4500千克及以下普通货运车辆的驾驶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人员外）</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《中华人民共和国道路运输条例》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5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危险货物道路运输从业人员从业资格认定</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《中华人民共和国道路运输条例》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《放射性物品运输安全管理条例》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船员适任证书核发</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县交通运输局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《中华人民共和国海上交通安全法》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《中华人民共和国船员条例》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《交通运输部办公厅关于全面推行直属海事系统权责清单制度的通知》（交办海〔2018〕19号）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《中华人民共和国海事局关于授权河南省地方海事局开展内核一类船舶船员适任考试发证工作的通知》（海船员〔2015〕631号）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132</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一般建设项目环境影响评价审批</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《中华人民共和国环境保护法》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《中华人民共和国环境影响评价法》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《中华人民共和国大气污染防治法》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《中华人民共和国土壤污染防治法》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2"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132</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一般建设项目环境影响评价审批</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《中华人民共和国固体废物污染环境防治法》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2"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《中华人民共和国环境噪声污染防治法》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7"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《建设项目环境保护管理条例》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核与辐射类建设项目环境影响评价审批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《中华人民共和国环境保护法》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《中华人民共和国环境影响评价法》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《中华人民共和国放射性污染防治法》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《中华人民共和国核安全法》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134</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排污许可</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《中华人民共和国环境保护法》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《中华人民共和国大气污染防治法》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《中华人民共和国固体废物污染环境防治法》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134</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排污许可</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《中华人民共和国土壤污染防治法》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《排污许可管理条例》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《河南省减少污染物排放条例》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河南省人民政府印发〈关于推进新发展格局下河南县域经济高质量发展的若干意见（试行）〉的通知》（豫发〔2021〕23号）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135</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江河、湖泊新建、改建或者扩大排污口审批</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default" w:asciiTheme="majorEastAsia" w:hAnsiTheme="majorEastAsia" w:eastAsiaTheme="majorEastAsia" w:cstheme="majorEastAsia"/>
                <w:i w:val="0"/>
                <w:color w:val="000000"/>
                <w:sz w:val="21"/>
                <w:szCs w:val="21"/>
                <w:u w:val="none"/>
                <w:lang w:val="en-US" w:eastAsia="zh-CN"/>
              </w:rPr>
            </w:pPr>
            <w:r>
              <w:rPr>
                <w:rFonts w:hint="eastAsia" w:asciiTheme="majorEastAsia" w:hAnsiTheme="majorEastAsia" w:eastAsiaTheme="majorEastAsia" w:cstheme="majorEastAsia"/>
                <w:i w:val="0"/>
                <w:color w:val="000000"/>
                <w:sz w:val="21"/>
                <w:szCs w:val="21"/>
                <w:u w:val="none"/>
                <w:lang w:val="en-US" w:eastAsia="zh-CN"/>
              </w:rPr>
              <w:t>135</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江河、湖泊新建、改建或者扩大排污口审批</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《中华人民共和国长江保护法》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《中央编办关于生态环境部流域生态环境监管机构设置有关事项的通知》（中编办发〔2019〕26号）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3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防治污染设施拆除或闲置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《中华人民共和国环境保护法》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《中华人民共和国海洋环境保护法》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《防治海洋工程建设项目污染损害海洋环境管理条例》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《中华人民共和国环境噪声污染防治法》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危险废物经营许可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《中华人民共和国固体废物污染环境防治法》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《危险废物经营许可证管理办法》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延长危险废物贮存期限审批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《中华人民共和国固体废物污染环境防治法》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139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放射性核素排放许可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县生态环境局（初审、受理）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《中华人民共和国放射性污染防治法》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石油天然气建设项目安全设施设计审查</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《建设项目安全设施“三同时”监督管理办法》（安全监管总局令第36号公布，安全监管总局令第77号修正）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《国家安全监管总局办公厅关于明确非煤矿山建设项目安全监管职责等事项的通知》（安监总厅管一〔2013〕143号）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《河南省人民代表大会常务委员会关于向郑州市洛阳市下放部分省级经济社会管理权限的决定》（2020年9月26日河南省第十三届人民代表大会常务委员会第二十次会议通过）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141</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金属冶炼建设项目安全设施设计审查</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《建设项目安全设施“三同时”监督管理办法》（安全监管总局令第36号公布，安全监管总局令第77号修正）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《冶金企业和有色金属企业安全生产规定》（安全监管总局令第91号）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0"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141</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金属冶炼建设项目安全设施设计审查</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《河南省人民代表大会常务委员会关于向郑州市洛阳市下放部分省级经济社会管理权限的决定》（2020年9月26日河南省第十三届人民代表大会常务委员会第二十次会议通过）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5"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危险化学品经营许可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《危险化学品经营许可证管理办法》（安全监管总局令第55号公布，安全监管总局令第79号修正）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矿山建设项目安全设施设计审查</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县应急管理局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《煤矿安全监察条例》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《煤矿建设项目安全设施监察规定》（安全监管总局令第6号公布，安全监管总局令第81号修正）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《建设项目安全设施“三同时”监督管理办法》（安全监管总局令第36号公布，安全监管总局令第77号修正）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《国家安全监管总局办公厅关于切实做好国家取消和下放投资审批有关建设项目安全监管工作的通知》（安监总厅政法〔2013〕120号）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《国家安全监管总局办公厅关于明确非煤矿山建设项目安全监管职责等事项的通知》（安监总厅管一〔2013〕143号）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《中华人民共和国应急管理部公告》（2021年第1号）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《河南省人民代表大会常务委员会关于向郑州市洛阳市下放部分省级经济社会管理权限的决定》（2020年9月26日河南省第十三届人民代表大会常务委员会第二十次会议通过）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县商务局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成品油零售经营资格审批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县商务局（初审）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县商务局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对外劳务合作经营资格核准</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县商务局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《中华人民共和国对外贸易法》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《对外劳务合作管理条例》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《信阳市人民政府关于取消下放调整合并行政审批项目的决定》（信政[2015]14号）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县人防办</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应建防空地下室的民用建筑项目报建审批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县人防办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《中共中央 国务院 中央军委关于加强人民防空工作的决定》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《人民防空工程建设管理规定》（国人防办字〔2003〕18号）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县人防办</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拆除人民防空工程审批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县人防办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《中华人民共和国人民防空法》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《河南省人民政府关于取消和调整行政审批项目的决定》（豫政〔2013〕58号）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食品生产许可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《中华人民共和国食品安全法》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《食品生产许可管理办法》（市场监管总局令第24号）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149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食品添加剂生产许可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《中华人民共和国食品安全法》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《食品生产许可管理办法》（市场监管总局令第24号）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食品经营许可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乡镇市场监管所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《中华人民共和国食品安全法》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特种设备使用登记</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《中华人民共和国特种设备安全法》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《特种设备安全监察条例》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特种设备安全管理和作业人员资格认定</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《中华人民共和国特种设备安全法》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《特种设备安全监察条例》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《特种设备作业人员监督管理办法》（质检总局令第70号公布，质检总局令第140号修正）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8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《河南省人民代表大会常务委员会关于向郑州市洛阳市下放部分省级经济社会管理权限的决定》（2020年9月26日河南省第十三届人民代表大会常务委员会第二十次会议通过）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计量标准器具核准</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《中华人民共和国计量法》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《中华人民共和国计量法实施细则》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承担国家法定计量检定机构任务授权</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《中华人民共和国计量法》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《中华人民共和国计量法实施细则》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155</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企业登记注册</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《中华人民共和国公司法》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《中华人民共和国合伙企业法》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《中华人民共和国个人独资企业法》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155</w:t>
            </w:r>
          </w:p>
        </w:tc>
        <w:tc>
          <w:tcPr>
            <w:tcW w:w="140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企业登记注册</w:t>
            </w:r>
          </w:p>
        </w:tc>
        <w:tc>
          <w:tcPr>
            <w:tcW w:w="24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《中华人民共和国外商投资法》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《中华人民共和国外商投资法实施条例》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《中华人民共和国市场主体登记管理条例》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《中华人民共和国企业法人登记管理条例》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《中华人民共和国合伙企业登记管理办法》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《中华人民共和国市场主体登记管理条例实施细则》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《企业名称登记管理规定》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个体工商户登记注册</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乡镇市场监管所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《个体工商户条例》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《中华人民共和国市场主体登记管理条例》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《中华人民共和国市场主体登记管理条例实施细则》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《企业名称登记管理规定》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农民专业合作社登记注册</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《中华人民共和国农民专业合作社法》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《农民专业合作社登记管理条例》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《中华人民共和国市场主体登记管理条例》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《中华人民共和国市场主体登记管理条例实施细则》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《企业名称登记管理规定》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药品零售企业筹建审批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《中华人民共和国药品管理法》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《中华人民共和国药品管理法实施条例》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159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药品零售企业经营许可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《中华人民共和国药品管理法》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《中华人民共和国药品管理法实施条例》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科研和教学用毒性药品购买审批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《医疗用毒性药品管理办法》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文艺表演团体设立审批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《营业性演出管理条例》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营业性演出审批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《营业性演出管理条例》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《营业性演出管理条例实施细则》（文化部令第47号公布，文化部令第57号修正）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娱乐场所经营活动审批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《娱乐场所管理条例》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互联网上网服务营业场所筹建审批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《互联网上网服务营业场所管理条例》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互联网上网服务经营活动</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《互联网上网服务营业场所管理条例》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导游证核发</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《中华人民共和国旅游法》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《导游人员管理条例》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2"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《导游管理办法》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广播电视专用频段频率使用许可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《广播电视无线传输覆盖网管理办法》（国家广播电影电视总局令第13号）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无线广播电视发射设备订购证明核发</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《国务院关于第六批取消和调整行政审批项目的决定》（国发〔2012〕52号）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《广播电视无线传输覆盖网管理办法》（国家广播电影电视总局令第13号）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《河南省人民代表大会常务委员会关于向郑州市洛阳市下放部分省级经济社会管理权限的决定》（2020年9月26日河南省第十三届人民代表大会常务委员会第二十次会议通过）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2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169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广播电台、电视台设立、终止审批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广播电台、电视台变更台名、台标、节目设置范围或节目套数审批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《国务院关于取消和下放一批行政许可事项的决定》（国发〔2020〕13号）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乡镇设立广播电视站和机关、部队、团体、企业事业单位设立有线广播电视站审批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《广播电视站审批管理暂行规定》（广播电影电视总局令第32号）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有线广播电视传输覆盖网工程验收审核</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广播电视视频点播业务审批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《广播电视视频点播业务管理办法》（广播电影电视总局令第35号公布，广播电视总局令第9号修正）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《河南省人民代表大会常务委员会关于向郑州市洛阳市下放部分省级经济社会管理权限的决定》（2020年9月26日河南省第十三届人民代表大会常务委员会第二十次会议通过）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经营广播电视节目传送业务审批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《广播电视节目传送业务管理办法》（国家广播电影电视总局令第33号）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卫星电视广播地面接收设施安装服务许可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《卫星电视广播地面接收设施管理规定》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《卫星电视广播地面接收设施安装服务暂行办法》（广播电影电视总局令第60号公布，广播电视总局令第10号修正）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《广电总局关于设立卫星地面接收设施安装服务机构审批事项的通知》（广发〔2010〕24号）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设置卫星电视广播地面接收设施审批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《卫星电视广播地面接收设施管理规定》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《〈卫星电视广播地面接收设施管理规定〉实施细则》（1994年2月3日广播电影电视部令第11号公布，根据2021年10月9日《国家广播电视总局关于第四批修改的部门规章的决定》修订）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建设工程文物保护许可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2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《中共河南省委办公厅 河南省人民政府办公厅印发〈关于放权赋能支持郑州加快国家中心城市建设的意见〉的通知》（豫办〔2021〕23号）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文物保护单位原址保护措施审批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1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《中共河南省委办公厅 河南省人民政府办公厅印发〈关于放权赋能支持郑州加快国家中心城市建设的意见〉的通知》（豫办〔2021〕23号）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《中共河南省委办公厅 河南省人民政府办公厅印发〈关于放权赋能支持洛阳建强中原城市群副中心城市的意见〉的通知》（豫办〔2021〕37号）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0"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179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核定为文物保护单位的属于国家所有的纪念建筑物或者古建筑改变用途审批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《中共河南省委办公厅 河南省人民政府办公厅印发〈关于放权赋能支持洛阳建强中原城市群副中心城市的意见〉的通知》（豫办〔2021〕37号）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不可移动文物修缮审批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非国有文物收藏单位和其他单位借用国有馆藏文物审批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博物馆处理不够入藏标准、无保存价值的文物或标本审批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2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《河南省人民政府关于向郑州市洛阳市和郑州航空港经济综合实验区下放部分省级经济社会管理权限的通知》（豫政〔2021〕9号）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《中共河南省委 河南省人民政府关于支持南阳以高效生态经济为引领建设省域副中心城市的若干意见》（豫发〔2022〕20号）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县财政局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中介机构从事代理记账业务审批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县财政局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《中华人民共和国会计法》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《代理记账管理办法》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《河南省财政厅关于进一步规范全省代理记账行业管理的通知》（豫财会</w:t>
            </w:r>
            <w:r>
              <w:rPr>
                <w:rStyle w:val="6"/>
                <w:rFonts w:hint="eastAsia" w:asciiTheme="majorEastAsia" w:hAnsiTheme="majorEastAsia" w:eastAsiaTheme="majorEastAsia" w:cstheme="majorEastAsia"/>
                <w:sz w:val="21"/>
                <w:szCs w:val="21"/>
                <w:lang w:val="en-US" w:eastAsia="zh-CN" w:bidi="ar"/>
              </w:rPr>
              <w:t>〔2022〕26号）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民用枪支及枪支主要零部件、弹药配置许可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《中华人民共和国枪支管理法》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举行集会游行示威许可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《中华人民共和国集会游行示威法》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大型群众性活动安全许可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《中华人民共和国消防法》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公章刻制业特种行业许可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《印铸刻字业暂行管理规则》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旅馆业特种行业许可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《旅馆业治安管理办法》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189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互联网上网服务营业场所信息网络安全审核</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《互联网上网服务营业场所管理条例》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举办焰火晚会及其他大型焰火燃放活动许可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《烟花爆竹安全管理条例》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烟花爆竹道路运输许可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公安局（运达地或者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启运地）</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《烟花爆竹安全管理条例》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民用爆炸物品购买许可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《民用爆炸物品安全管理条例》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民用爆炸物品运输许可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县公安局（运达地）</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《民用爆炸物品安全管理条例》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剧毒化学品购买许可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剧毒化学品道路运输通行</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放射性物品道路运输许可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《中华人民共和国核安全法》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7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运输危险化学品的车辆进入危险化学品运输车辆限制通行区域审批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易制毒化学品购买许可（除第一类中的药品类易制毒化学品外）</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《中华人民共和国禁毒法》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199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易制毒化学品运输许可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《中华人民共和国禁毒法》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金融机构营业场所和金库安全防范设施建设方案审批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金融机构营业场所和金库安全防范设施建设工程验收</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机动车登记</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机动车临时通行牌证核发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机动车检验合格标志核发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机动车驾驶证核发、审验</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校车驾驶资格许可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《校车安全管理条例》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非机动车登记</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涉路施工交通安全审查</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209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户口迁移审批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《中华人民共和国户口登记条例》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犬类准养证核发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《中华人民共和国动物防疫法》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普通护照签发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县公安局（受国家移民局委托实施）</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《中华人民共和国护照法》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出入境通行证签发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县公安局出入境管理机构（受国家移民局委托实施）</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《中华人民共和国护照法》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边境管理区通行证核发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县公安局（含指定的派出所）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内地居民前往港澳通行证、往来港澳通行证及签注签发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县公安局（受国家移民局委托实施）</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港澳居民来往内地通行证</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县公安局（受中华人民共和国出入境管理局委托实施）</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港澳居民定居证明签发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3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大陆居民往来台湾通行证及签注签发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县公安局（受中华人民共和国出入境管理局委托实施）</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台湾居民来往大陆通行证</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县公安局（由中华人民共和国出入境管理局委托实施）</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219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台湾居民定居证明签发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县公安局（受理）</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茶产业局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林草种子生产经营许可证</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茶产业局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林草植物检疫证书核发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（植物检疫机构）</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1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建设项目使用林地及在森林和野生动物类型国家级自然保护区建设审批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《中华人民共和国森林法》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建设项目使用草原审批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《中华人民共和国草原法》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林木采伐许可证核发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《中华人民共和国森林法》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从事营利性治沙活动许可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《中华人民共和国防沙治沙法》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在风景名胜区内从事建设、设置广告、举办大型游乐活动以及其他影响生态和景观活动许可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《风景名胜区条例》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进入自然保护区从事有关活动审批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《中华人民共和国自然保护区条例》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猎捕陆生野生动物审批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《中华人民共和国野生动物保护法》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4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229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森林草原防火期内在森林草原防火区野外用火审批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县政府（由县林业和</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茶产业局承办）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《森林防火条例》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8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森林草原防火期内在森林草原防火区爆破、勘察和施工等活动审批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县林业和茶产业局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《森林防火条例》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2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进入森林高火险区、草原防火管制区审批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县政府（由县林业和茶产业局承办）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《森林防火条例》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县林业和茶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产业局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工商企业等社会资本通过流转取得林地经营权审批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县政府（由县林业和茶产业局承办）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《中华人民共和国农村土地承包法》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县消防救援</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大队</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公众聚集场所投入使用、营业前消防安全检查</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县消防救援大队</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《中华人民共和国消防法》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县烟草局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烟草专卖零售许可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县烟草局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《中华人民共和国烟草专卖法》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县侨联</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华侨回国定居审批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县侨联（初审）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《中华人民共和国出境入境管理法》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开采矿产资源审批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《中华人民共和国矿产资源法》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《中华人民共和国矿产资源法实施细则》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《矿产资源开采登记管理办法》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地图审核</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《地图管理条例》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法人或者其他组织需要利用属于国家秘密的基础测绘成果审批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《中华人民共和国测绘成果管理条例》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《基础测绘成果提供使用管理暂行办法》（国测法字〔2006〕13号）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《河南省测绘成果管理办法》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239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建设项目用地预审与选址意见书核发</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《中华人民共和国土地管理法实施条例》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《建设项目用地预审管理办法》（国土资源部令第68号）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《自然资源部关于以“多规合一”为基础推进规划用地“多审合一、多证合一”改革的通知》（自然资规〔2019〕2号）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《河南省实施〈中华人民共和国城乡规划法〉办法》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1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国有建设用地使用权出让后土地使用权分割转让批准</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《中华人民共和国城镇国有土地使用权出让和转让暂行条例》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乡（镇）村企业使用集体建设用地审批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《河南省实施〈土地管理法〉办法》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乡（镇）村公共设施、公益事业使用集体建设用地审批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《河南省实施〈土地管理法〉办法》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临时用地审批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建设用地、临时建设用地规划许可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《河南省实施〈中华人民共和国城乡规划法〉办法》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开发未确定使用权的国有荒山、荒地、荒滩从事生产审查</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《中华人民共和国土地管理法实施条例》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《河南省实施〈土地管理法〉办法》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6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建设工程、临时建设工程规划许可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《河南省实施〈中华人民共和国城乡规划法〉办法》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县自然资源局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乡村建设规划许可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县自然资源局（由乡、镇人民政府初审）</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乡、镇人民政府</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《河南省实施〈中华人民共和国城乡规划法〉办法》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农药经营许可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249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兽药经营许可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《兽药管理条例》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农作物种子生产经营许可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县农业农村局（部分初审后报省农业农村厅）</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《农业转基因生物安全管理条例》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《转基因棉花种子生产经营许可规定》（农业部公告第2436号公布，农业农村部令2019年第2号修正）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《农作物种子生产经营许可管理办法》（农业部令2016年第5号）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食用菌菌种生产经营许可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县农业农村局（部分初审后报省农业农村厅）</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《食用菌菌种管理办法》（农业部令2006年第62号公布，农业部令2015年第1号修正）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使用低于国家或地方规定的种用标准的农作物种子审批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县政府（由县农业农村局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种畜禽生产经营许可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县农业农村局（权限内事项由县农业农村局初审）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《中华人民共和国畜牧法》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《农业转基因生物安全管理条例》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《养蜂管理办法（试行）》（农业部公告第1692号）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《河南省人民政府办公厅关于转发河南省种畜禽生产经营许可证审核发放办法的通知》（豫政办〔2017〕150号）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254</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蚕种生产经营许可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县农业农村局（初审）</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《中华人民共和国畜牧法》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《蚕种管理办法》（农业部令2006年第68号）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3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255</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农业植物检疫证书核发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县农业农村局或者其所属的植物检疫机构</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3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256</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农业植物产地检疫合格证</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签发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县农业农村局或者其所属的植物检疫机构</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0"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农业野生植物采集、出售、收购、野外考察审批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县农业农村局（采集国家二级保护野生植物的，初审后报省农业农村厅）</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《中华人民共和国野生植物保护条例》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动物及动物产品检疫合格证核发</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县动物卫生监督所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《中华人民共和国动物防疫法》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2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《动物检疫管理办法》（农业部令2010年第6号公布，农业农村部令2019年第2号修正）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259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动物防疫条件合格证核发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《中华人民共和国动物防疫法》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动物诊疗许可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《中华人民共和国动物防疫法》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《动物诊疗机构管理办法》（农业部令2008年第19号公布，农业部令2017年8号修正）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261</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生鲜乳收购站许可</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《乳品质量安全监督管理条例》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262</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生鲜乳准运证明核发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《乳品质量安全监督管理条例》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工商企业等社会资本通过流转取得土地经营权审批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县政府、乡镇政府（由农业农村部门或者农村经营管理部门承办）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《中华人民共和国农村土地承包法》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《农村土地经营权流转管理办法》（农业农村部令2021年第1号）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农村村民宅基地审批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乡镇政府</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猎捕国家重点保护水生野生动物审批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县农业农村局（初审部分事项报省农业农村厅）</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《中华人民共和国野生动物保护法》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《中华人民共和国水生野生动物保护实施条例》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出售、购买、利用国家重点保护水生野生动物及其制品</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县农业农村局（初审部分事项报省农业农村厅）</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《中华人民共和国野生动物保护法》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《中华人民共和国水生野生动物保护实施条例》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1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《国家林业局受理10种（类）陆生野生动物相关行政许可事项》（国家林业局公告2017年第14号）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267</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人工繁育国家重点保护水生野生动物审批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县农业农村局（初审部分事项报省农业农村厅）</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《中华人民共和国野生动物保护法》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《中华人民共和国水生野生动物利用特许办法》（农业部令1999年第15号公布，农业部令2017年第8号修正）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0"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《国家林业局受理10种（类）陆生野生动物相关行政许可事项》（国家林业局公告2017年第14号）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268</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渔业船舶船员证书核发</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《中华人民共和国渔业船员管理办法》（农业部令2014年第4号公布，农业部令2017年第8号修正）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269</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水产苗种生产经营审批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《水产苗种管理办法》（农业部令2005年第46号）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《农业转基因生物安全管理条例》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水域滩涂养殖证核发</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县政府（由县农业农村局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承办）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渔业船网工具指标审批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《渔业捕捞许可管理规定》（农业农村部令2018年第1号）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272</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渔业捕捞许可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《中华人民共和国渔业法实施细则》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《渔业捕捞许可管理规定》（农业农村部令2018年第1号）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273</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渔港内新建、改建、扩建设施或者其他水上、水下施工审批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274</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渔港内易燃、易爆、有毒等危险品装卸审批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275</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渔业船舶国籍登记</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县农业农村局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《中华人民共和国船舶登记条例》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4"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《中华人民共和国渔业船舶登记办法》（农业部令2012年第8号公布，农业部令2013年第5号修正）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1483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楷体_GB2312" w:hAnsi="楷体_GB2312" w:eastAsia="楷体_GB2312" w:cs="楷体_GB2312"/>
                <w:b/>
                <w:bCs/>
                <w:i w:val="0"/>
                <w:color w:val="000000"/>
                <w:kern w:val="0"/>
                <w:sz w:val="21"/>
                <w:szCs w:val="21"/>
                <w:u w:val="none"/>
                <w:lang w:val="en-US" w:eastAsia="zh-CN" w:bidi="ar"/>
              </w:rPr>
              <w:t>第二部分：河南省地方性法规设定的行政许可事项（共6项）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276</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清真食品生产经营许可</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县民族宗教局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《河南省少数民族权益保障条例》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《河南省清真食品管理办法》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277</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食品小作坊店登记</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《河南省食品小作坊、小经营店和小摊点管理条例》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278</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食品小经营店登记</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kern w:val="0"/>
                <w:sz w:val="21"/>
                <w:szCs w:val="21"/>
                <w:u w:val="none"/>
                <w:lang w:val="en-US" w:eastAsia="zh-CN" w:bidi="ar"/>
              </w:rPr>
            </w:pPr>
            <w:r>
              <w:rPr>
                <w:rFonts w:hint="eastAsia" w:asciiTheme="majorEastAsia" w:hAnsiTheme="majorEastAsia" w:eastAsiaTheme="majorEastAsia" w:cstheme="majorEastAsia"/>
                <w:i w:val="0"/>
                <w:color w:val="000000"/>
                <w:kern w:val="0"/>
                <w:sz w:val="21"/>
                <w:szCs w:val="21"/>
                <w:u w:val="none"/>
                <w:lang w:val="en-US" w:eastAsia="zh-CN" w:bidi="ar"/>
              </w:rPr>
              <w:t>县市场监管局、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乡镇市场监管所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《河南省食品小作坊、小经营店和小摊点管理条例》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5"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279</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县人防办</w:t>
            </w:r>
          </w:p>
        </w:tc>
        <w:tc>
          <w:tcPr>
            <w:tcW w:w="27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人民防空通信、警报设施拆除审批</w:t>
            </w:r>
          </w:p>
        </w:tc>
        <w:tc>
          <w:tcPr>
            <w:tcW w:w="24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县人防办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《河南省实施〈中华人民共和国人民防空法〉办法》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280</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县人防办</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报废人民防空工程审批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县人防办</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《河南省实施〈中华人民共和国人民防空法〉办法》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9"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《河南省人民防空工程管理办法》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jc w:val="center"/>
        </w:trPr>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281</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27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利用文物保护单位拍摄或举办大型活动的审批</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县文广旅局</w:t>
            </w: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《河南省实施〈中华人民共和国文物保护法〉办法》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5" w:hRule="atLeast"/>
          <w:jc w:val="center"/>
        </w:trPr>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7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heme="majorEastAsia" w:hAnsiTheme="majorEastAsia" w:eastAsiaTheme="majorEastAsia" w:cstheme="majorEastAsia"/>
                <w:i w:val="0"/>
                <w:color w:val="000000"/>
                <w:sz w:val="21"/>
                <w:szCs w:val="21"/>
                <w:u w:val="none"/>
              </w:rPr>
            </w:pPr>
          </w:p>
        </w:tc>
        <w:tc>
          <w:tcPr>
            <w:tcW w:w="7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ajorEastAsia" w:hAnsiTheme="majorEastAsia" w:eastAsiaTheme="majorEastAsia" w:cstheme="majorEastAsia"/>
                <w:i w:val="0"/>
                <w:color w:val="000000"/>
                <w:sz w:val="21"/>
                <w:szCs w:val="21"/>
                <w:u w:val="none"/>
              </w:rPr>
            </w:pPr>
            <w:r>
              <w:rPr>
                <w:rFonts w:hint="eastAsia" w:asciiTheme="majorEastAsia" w:hAnsiTheme="majorEastAsia" w:eastAsiaTheme="majorEastAsia" w:cstheme="majorEastAsia"/>
                <w:i w:val="0"/>
                <w:color w:val="000000"/>
                <w:kern w:val="0"/>
                <w:sz w:val="21"/>
                <w:szCs w:val="21"/>
                <w:u w:val="none"/>
                <w:lang w:val="en-US" w:eastAsia="zh-CN" w:bidi="ar"/>
              </w:rPr>
              <w:t>《河南省人民政府办公厅关于进一步深化县域放权赋能改革的意见》（豫政办〔2022〕99号）</w:t>
            </w:r>
          </w:p>
        </w:tc>
      </w:tr>
    </w:tbl>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Theme="majorEastAsia" w:hAnsiTheme="majorEastAsia" w:eastAsiaTheme="majorEastAsia" w:cstheme="majorEastAsia"/>
          <w:i w:val="0"/>
          <w:color w:val="000000"/>
          <w:kern w:val="0"/>
          <w:sz w:val="21"/>
          <w:szCs w:val="21"/>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cs="黑体"/>
          <w:color w:val="000000"/>
          <w:spacing w:val="20"/>
          <w:kern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cs="黑体"/>
          <w:color w:val="000000"/>
          <w:spacing w:val="20"/>
          <w:kern w:val="0"/>
          <w:sz w:val="32"/>
          <w:szCs w:val="32"/>
          <w:lang w:eastAsia="zh-CN"/>
        </w:rPr>
        <w:sectPr>
          <w:pgSz w:w="16840" w:h="11907" w:orient="landscape"/>
          <w:pgMar w:top="1474" w:right="1757" w:bottom="1474" w:left="1757" w:header="0" w:footer="1417" w:gutter="0"/>
          <w:cols w:space="0" w:num="1"/>
          <w:rtlGutter w:val="0"/>
          <w:docGrid w:type="lines" w:linePitch="595" w:charSpace="0"/>
        </w:sectPr>
      </w:pPr>
    </w:p>
    <w:p>
      <w:pPr>
        <w:spacing w:line="600" w:lineRule="exact"/>
        <w:ind w:firstLine="645"/>
        <w:rPr>
          <w:rFonts w:hint="eastAsia" w:ascii="仿宋_GB2312" w:eastAsia="仿宋_GB2312"/>
          <w:color w:val="000000"/>
          <w:spacing w:val="20"/>
          <w:kern w:val="0"/>
          <w:sz w:val="3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38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spacing w:line="240" w:lineRule="exact"/>
        <w:ind w:firstLine="420" w:firstLineChars="200"/>
        <w:rPr>
          <w:rFonts w:hint="eastAsia" w:ascii="仿宋_GB2312"/>
          <w:szCs w:val="32"/>
        </w:rPr>
      </w:pPr>
    </w:p>
    <w:p>
      <w:pPr>
        <w:widowControl/>
        <w:wordWrap w:val="0"/>
        <w:snapToGrid w:val="0"/>
        <w:spacing w:line="640" w:lineRule="exact"/>
        <w:jc w:val="left"/>
      </w:pPr>
      <w:r>
        <w:rPr>
          <w:rFonts w:hint="eastAsia"/>
        </w:rPr>
        <mc:AlternateContent>
          <mc:Choice Requires="wps">
            <w:drawing>
              <wp:anchor distT="0" distB="0" distL="114300" distR="114300" simplePos="0" relativeHeight="251659264" behindDoc="0" locked="0" layoutInCell="1" allowOverlap="1">
                <wp:simplePos x="0" y="0"/>
                <wp:positionH relativeFrom="column">
                  <wp:posOffset>-16510</wp:posOffset>
                </wp:positionH>
                <wp:positionV relativeFrom="paragraph">
                  <wp:posOffset>461010</wp:posOffset>
                </wp:positionV>
                <wp:extent cx="5746115" cy="2540"/>
                <wp:effectExtent l="0" t="0" r="0" b="0"/>
                <wp:wrapNone/>
                <wp:docPr id="1" name="直线 2"/>
                <wp:cNvGraphicFramePr/>
                <a:graphic xmlns:a="http://schemas.openxmlformats.org/drawingml/2006/main">
                  <a:graphicData uri="http://schemas.microsoft.com/office/word/2010/wordprocessingShape">
                    <wps:wsp>
                      <wps:cNvCnPr/>
                      <wps:spPr>
                        <a:xfrm>
                          <a:off x="0" y="0"/>
                          <a:ext cx="5746115" cy="2540"/>
                        </a:xfrm>
                        <a:prstGeom prst="line">
                          <a:avLst/>
                        </a:prstGeom>
                        <a:ln w="19050" cap="flat" cmpd="sng">
                          <a:solidFill>
                            <a:srgbClr val="000000"/>
                          </a:solidFill>
                          <a:prstDash val="solid"/>
                          <a:headEnd type="none" w="med" len="med"/>
                          <a:tailEnd type="none" w="med" len="med"/>
                        </a:ln>
                        <a:effectLst/>
                      </wps:spPr>
                      <wps:bodyPr upright="1"/>
                    </wps:wsp>
                  </a:graphicData>
                </a:graphic>
              </wp:anchor>
            </w:drawing>
          </mc:Choice>
          <mc:Fallback>
            <w:pict>
              <v:line id="直线 2" o:spid="_x0000_s1026" o:spt="20" style="position:absolute;left:0pt;margin-left:-1.3pt;margin-top:36.3pt;height:0.2pt;width:452.45pt;z-index:251659264;mso-width-relative:page;mso-height-relative:page;" filled="f" stroked="t" coordsize="21600,21600" o:gfxdata="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GjPI9YAAAAIAQAADwAAAAAAAAABACAAAAAiAAAAZHJzL2Rvd25yZXYueG1sUEsBAhQAFAAA&#10;AAgAh07iQNnadJ/xAQAA7QMAAA4AAAAAAAAAAQAgAAAAJQEAAGRycy9lMm9Eb2MueG1sUEsFBgAA&#10;AAAGAAYAWQEAAIgFAAAAAA==&#10;">
                <v:fill on="f" focussize="0,0"/>
                <v:stroke weight="1.5pt" color="#00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30480</wp:posOffset>
                </wp:positionV>
                <wp:extent cx="5702935" cy="635"/>
                <wp:effectExtent l="0" t="0" r="0" b="0"/>
                <wp:wrapNone/>
                <wp:docPr id="2" name="直线 3"/>
                <wp:cNvGraphicFramePr/>
                <a:graphic xmlns:a="http://schemas.openxmlformats.org/drawingml/2006/main">
                  <a:graphicData uri="http://schemas.microsoft.com/office/word/2010/wordprocessingShape">
                    <wps:wsp>
                      <wps:cNvCnPr/>
                      <wps:spPr>
                        <a:xfrm>
                          <a:off x="0" y="0"/>
                          <a:ext cx="5702935" cy="635"/>
                        </a:xfrm>
                        <a:prstGeom prst="line">
                          <a:avLst/>
                        </a:prstGeom>
                        <a:ln w="19050" cap="flat" cmpd="sng">
                          <a:solidFill>
                            <a:srgbClr val="000000"/>
                          </a:solidFill>
                          <a:prstDash val="solid"/>
                          <a:headEnd type="none" w="med" len="med"/>
                          <a:tailEnd type="none" w="med" len="med"/>
                        </a:ln>
                        <a:effectLst/>
                      </wps:spPr>
                      <wps:bodyPr upright="1"/>
                    </wps:wsp>
                  </a:graphicData>
                </a:graphic>
              </wp:anchor>
            </w:drawing>
          </mc:Choice>
          <mc:Fallback>
            <w:pict>
              <v:line id="直线 3" o:spid="_x0000_s1026" o:spt="20" style="position:absolute;left:0pt;margin-left:0pt;margin-top:2.4pt;height:0.05pt;width:449.05pt;z-index:251660288;mso-width-relative:page;mso-height-relative:page;" filled="f" stroked="t" coordsize="21600,21600" o:gfxdata="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RYB2vR&#10;AAAABAEAAA8AAAAAAAAAAQAgAAAAIgAAAGRycy9kb3ducmV2LnhtbFBLAQIUABQAAAAIAIdO4kDW&#10;Eu4N7gEAAOwDAAAOAAAAAAAAAAEAIAAAACABAABkcnMvZTJvRG9jLnhtbFBLBQYAAAAABgAGAFkB&#10;AACABQAAAAA=&#10;">
                <v:fill on="f" focussize="0,0"/>
                <v:stroke weight="1.5pt" color="#000000" joinstyle="round"/>
                <v:imagedata o:title=""/>
                <o:lock v:ext="edit" aspectratio="f"/>
              </v:line>
            </w:pict>
          </mc:Fallback>
        </mc:AlternateContent>
      </w:r>
      <w:r>
        <w:rPr>
          <w:rFonts w:hint="eastAsia" w:ascii="仿宋_GB2312" w:eastAsia="仿宋_GB2312"/>
          <w:sz w:val="32"/>
          <w:szCs w:val="32"/>
          <w:lang w:val="en-US" w:eastAsia="zh-CN"/>
        </w:rPr>
        <w:t xml:space="preserve">  </w:t>
      </w:r>
      <w:r>
        <w:rPr>
          <w:rFonts w:hint="eastAsia" w:ascii="仿宋_GB2312" w:eastAsia="仿宋_GB2312"/>
          <w:sz w:val="32"/>
          <w:szCs w:val="32"/>
        </w:rPr>
        <w:t>商城县人民政府办公室              20</w:t>
      </w:r>
      <w:r>
        <w:rPr>
          <w:rFonts w:hint="eastAsia" w:ascii="仿宋_GB2312" w:eastAsia="仿宋_GB2312"/>
          <w:sz w:val="32"/>
          <w:szCs w:val="32"/>
          <w:lang w:val="en-US" w:eastAsia="zh-CN"/>
        </w:rPr>
        <w:t>23</w:t>
      </w:r>
      <w:r>
        <w:rPr>
          <w:rFonts w:hint="eastAsia" w:ascii="仿宋_GB2312" w:eastAsia="仿宋_GB2312"/>
          <w:sz w:val="32"/>
          <w:szCs w:val="32"/>
        </w:rPr>
        <w:t>年</w:t>
      </w:r>
      <w:r>
        <w:rPr>
          <w:rFonts w:hint="eastAsia" w:ascii="仿宋_GB2312" w:eastAsia="仿宋_GB2312"/>
          <w:sz w:val="32"/>
          <w:szCs w:val="32"/>
          <w:lang w:val="en-US" w:eastAsia="zh-CN"/>
        </w:rPr>
        <w:t>4</w:t>
      </w:r>
      <w:r>
        <w:rPr>
          <w:rFonts w:hint="eastAsia" w:ascii="仿宋_GB2312" w:eastAsia="仿宋_GB2312"/>
          <w:sz w:val="32"/>
          <w:szCs w:val="32"/>
        </w:rPr>
        <w:t>月</w:t>
      </w:r>
      <w:r>
        <w:rPr>
          <w:rFonts w:hint="eastAsia" w:ascii="仿宋_GB2312" w:eastAsia="仿宋_GB2312"/>
          <w:sz w:val="32"/>
          <w:szCs w:val="32"/>
          <w:lang w:val="en-US" w:eastAsia="zh-CN"/>
        </w:rPr>
        <w:t>25</w:t>
      </w:r>
      <w:r>
        <w:rPr>
          <w:rFonts w:hint="eastAsia" w:ascii="仿宋_GB2312" w:eastAsia="仿宋_GB2312"/>
          <w:sz w:val="32"/>
          <w:szCs w:val="32"/>
        </w:rPr>
        <w:t>日印发</w:t>
      </w:r>
    </w:p>
    <w:sectPr>
      <w:pgSz w:w="11907" w:h="16840"/>
      <w:pgMar w:top="1871" w:right="1474" w:bottom="1644" w:left="1474" w:header="0" w:footer="1417" w:gutter="0"/>
      <w:cols w:space="720" w:num="1"/>
      <w:docGrid w:type="lines" w:linePitch="59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iYWFiODlkODY0NzZlNGM0Yjg1ZDhkNjUwNmJhNWIifQ=="/>
  </w:docVars>
  <w:rsids>
    <w:rsidRoot w:val="6DD40D16"/>
    <w:rsid w:val="6DD40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character" w:customStyle="1" w:styleId="6">
    <w:name w:val="font71"/>
    <w:basedOn w:val="4"/>
    <w:qFormat/>
    <w:uiPriority w:val="0"/>
    <w:rPr>
      <w:rFonts w:hint="eastAsia" w:ascii="宋体" w:hAnsi="宋体" w:eastAsia="宋体" w:cs="宋体"/>
      <w:color w:val="000000"/>
      <w:sz w:val="20"/>
      <w:szCs w:val="20"/>
      <w:u w:val="none"/>
    </w:rPr>
  </w:style>
  <w:style w:type="paragraph" w:customStyle="1" w:styleId="7">
    <w:name w:val=" Char Char Char Char Char Char Char"/>
    <w:basedOn w:val="1"/>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2023-04-27T07:40:00Z</dcterms:created>
  <dc:creator>勿忘心安</dc:creator>
  <cp:lastModifiedBy>勿忘心安</cp:lastModifiedBy>
  <dcterms:modified xsi:type="dcterms:W3CDTF">2023-04-27T07:40:42Z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5BF851A01C764A7F8C54A3DE1A852D4E_11</vt:lpwstr>
  </property>
</Properties>
</file>