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5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71"/>
        <w:gridCol w:w="55"/>
        <w:gridCol w:w="8"/>
        <w:gridCol w:w="1551"/>
        <w:gridCol w:w="1986"/>
        <w:gridCol w:w="1440"/>
        <w:gridCol w:w="409"/>
        <w:gridCol w:w="425"/>
        <w:gridCol w:w="786"/>
        <w:gridCol w:w="1080"/>
        <w:gridCol w:w="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名称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制造商</w:t>
            </w:r>
          </w:p>
        </w:tc>
        <w:tc>
          <w:tcPr>
            <w:tcW w:w="409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</w:t>
            </w: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单价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</w:t>
            </w:r>
          </w:p>
        </w:tc>
        <w:tc>
          <w:tcPr>
            <w:tcW w:w="778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ascii="黑体" w:hAnsi="黑体" w:eastAsia="黑体" w:cs="宋体"/>
                <w:sz w:val="28"/>
                <w:szCs w:val="28"/>
              </w:rPr>
              <w:t>1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网格管理平台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网格管理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网格维护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网格划分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网格标注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网格员管理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网格跟踪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</w:p>
          <w:p>
            <w:pPr>
              <w:pStyle w:val="7"/>
            </w:pPr>
          </w:p>
          <w:p>
            <w:pPr>
              <w:pStyle w:val="7"/>
            </w:pPr>
          </w:p>
          <w:p>
            <w:pPr>
              <w:pStyle w:val="7"/>
            </w:pPr>
          </w:p>
          <w:p>
            <w:pPr>
              <w:pStyle w:val="7"/>
            </w:pPr>
          </w:p>
          <w:p>
            <w:pPr>
              <w:rPr>
                <w:rFonts w:ascii="微软雅黑" w:hAnsi="微软雅黑" w:eastAsia="微软雅黑" w:cs="宋体"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实有人口管理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实有人口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户籍人口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流动人口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境外人员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留守人员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人员卡片管理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人员历程管理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实有建筑管理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建筑物信息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建筑物信息管理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建筑物标注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楼栋长管理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实有房屋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地上附作物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附作物分类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附作物信息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附作物标注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附作物管理</w:t>
            </w:r>
          </w:p>
        </w:tc>
        <w:tc>
          <w:tcPr>
            <w:tcW w:w="1986" w:type="dxa"/>
          </w:tcPr>
          <w:p>
            <w:pPr>
              <w:pStyle w:val="7"/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社情民意跟踪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走访记录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ind w:right="420"/>
              <w:rPr>
                <w:rFonts w:ascii="宋体"/>
                <w:szCs w:val="21"/>
              </w:rPr>
            </w:pPr>
          </w:p>
          <w:p>
            <w:pPr>
              <w:ind w:right="420"/>
              <w:rPr>
                <w:rFonts w:ascii="宋体"/>
                <w:szCs w:val="21"/>
              </w:rPr>
            </w:pPr>
          </w:p>
          <w:p>
            <w:pPr>
              <w:ind w:right="420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人员轨迹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走访反馈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重点事件管理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事件分类管理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/>
                <w:sz w:val="24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事件统计分析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事件跟踪预警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发现上报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受理派遣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处理反馈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任务核查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结案分析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延期审核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社会组织管理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社会团体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非企业单位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组织信息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维护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雇员管理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证件管理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2</w:t>
            </w:r>
            <w:r>
              <w:rPr>
                <w:rFonts w:ascii="黑体" w:hAnsi="黑体" w:eastAsia="黑体" w:cs="宋体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社会综治平台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  <w:r>
              <w:rPr>
                <w:rFonts w:ascii="微软雅黑" w:hAnsi="微软雅黑" w:eastAsia="微软雅黑" w:cs="宋体"/>
                <w:sz w:val="24"/>
              </w:rPr>
              <w:t xml:space="preserve"> </w:t>
            </w: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综治组织及业务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综治机构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综治队伍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群防群治组织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群防群治队伍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网格队伍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综治中心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综治视联网信息中心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重特大案（事）件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特殊人群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刑满释放人员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社区矫正人员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精神病人员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吸毒人员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信访重点人员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涉邪人员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艾滋病危险人员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重点青少年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重点青少年列表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服刑人员未成年子女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农村留守儿童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其他青少年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走访日志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非公</w:t>
            </w:r>
          </w:p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有制</w:t>
            </w:r>
          </w:p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经济</w:t>
            </w:r>
          </w:p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组织</w:t>
            </w:r>
          </w:p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和社</w:t>
            </w:r>
          </w:p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会组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织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社会组织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非公有制经济组织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社会治安管理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重点地区排查整治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整治情况处理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ind w:right="420"/>
              <w:rPr>
                <w:rFonts w:ascii="宋体" w:cs="宋体"/>
                <w:szCs w:val="21"/>
              </w:rPr>
            </w:pPr>
          </w:p>
          <w:p>
            <w:pPr>
              <w:ind w:right="420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命案信息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寄递物流安全管理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巡逻情况管理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pStyle w:val="7"/>
            </w:pPr>
          </w:p>
          <w:p>
            <w:pPr>
              <w:pStyle w:val="7"/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矛盾纠纷排查化解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发现上报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受理派遣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处理反馈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任务核查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结案分析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延期审核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事件查询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统计信息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color w:val="000000"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4"/>
              </w:rPr>
              <w:t>校园及周边安全</w:t>
            </w:r>
          </w:p>
        </w:tc>
        <w:tc>
          <w:tcPr>
            <w:tcW w:w="1559" w:type="dxa"/>
            <w:gridSpan w:val="2"/>
          </w:tcPr>
          <w:p>
            <w:pPr>
              <w:jc w:val="center"/>
              <w:rPr>
                <w:rFonts w:ascii="宋体"/>
                <w:szCs w:val="21"/>
              </w:rPr>
            </w:pPr>
          </w:p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校园周边重点人员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涉及师生安全的案（事）件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护路护线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护路护线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涉及线、路案（事）件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/>
                <w:b/>
                <w:sz w:val="28"/>
                <w:szCs w:val="28"/>
              </w:rPr>
              <w:t>3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网格工作平台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个人门户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我的提醒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待办事项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我的视图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工作审批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工作日志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工作进度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日志管理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工作日志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日志审核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工作计划管理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我的工作计划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我安排的工作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网格信息采集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走访信息上报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重点事件上报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 xml:space="preserve">4 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宣传平台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通知公告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新闻资讯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工作动态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政策法规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活动资讯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其他信息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伟森城市社区网格化管理系统</w:t>
            </w:r>
            <w:r>
              <w:rPr>
                <w:rFonts w:ascii="宋体" w:cs="宋体"/>
                <w:szCs w:val="21"/>
              </w:rPr>
              <w:t xml:space="preserve"> V5.0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451" w:type="dxa"/>
            <w:gridSpan w:val="12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5.</w:t>
            </w: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工作管理平台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微软雅黑" w:hAnsi="微软雅黑" w:eastAsia="微软雅黑" w:cs="宋体"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网格考勤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网格考勤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考勤报表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日志审核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审核列表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日志详情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审核操作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公告管理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公告发起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公告查询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公文收发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公文发起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公文收件箱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公文发件箱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工作审批管理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审批模板设置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发起审批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审批统计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工作指派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工作跟踪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sz w:val="24"/>
              </w:rPr>
            </w:pPr>
          </w:p>
          <w:p>
            <w:pPr>
              <w:rPr>
                <w:rFonts w:ascii="宋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工作报表跟踪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451" w:type="dxa"/>
            <w:gridSpan w:val="12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6.</w:t>
            </w: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绩效考核平台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积分管理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积分增减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积分排名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积分明细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426" w:type="dxa"/>
            <w:gridSpan w:val="2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绩效管理</w:t>
            </w: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考核模板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考核结果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考核明细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6" w:type="dxa"/>
            <w:gridSpan w:val="2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2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绩效对比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伟森工作绩效管理平台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7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统计分析平台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核心数据展示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人口信息统计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房屋信息统计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特殊人群统计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事件统计统计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事件分级统计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事件部门统计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逾期及待办事件统计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作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预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警</w:t>
            </w: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工作预警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活动预警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案（事）件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预警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信息预警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快捷入口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34" w:type="dxa"/>
            <w:gridSpan w:val="3"/>
            <w:vMerge w:val="restart"/>
          </w:tcPr>
          <w:p>
            <w:pPr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黑体" w:hAnsi="黑体" w:eastAsia="黑体"/>
                <w:b/>
                <w:sz w:val="24"/>
              </w:rPr>
              <w:t>GIS</w:t>
            </w:r>
            <w:r>
              <w:rPr>
                <w:rFonts w:hint="eastAsia" w:ascii="黑体" w:hAnsi="黑体" w:eastAsia="黑体"/>
                <w:b/>
                <w:sz w:val="24"/>
              </w:rPr>
              <w:t>地图平台</w:t>
            </w:r>
          </w:p>
        </w:tc>
        <w:tc>
          <w:tcPr>
            <w:tcW w:w="1551" w:type="dxa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实时</w:t>
            </w:r>
            <w:r>
              <w:rPr>
                <w:rFonts w:asciiTheme="minorEastAsia" w:hAnsiTheme="minorEastAsia"/>
                <w:szCs w:val="21"/>
              </w:rPr>
              <w:t>地图展示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34" w:type="dxa"/>
            <w:gridSpan w:val="3"/>
            <w:vMerge w:val="continue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551" w:type="dxa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网格</w:t>
            </w:r>
            <w:r>
              <w:rPr>
                <w:rFonts w:asciiTheme="minorEastAsia" w:hAnsiTheme="minorEastAsia"/>
                <w:szCs w:val="21"/>
              </w:rPr>
              <w:t>展示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34" w:type="dxa"/>
            <w:gridSpan w:val="3"/>
            <w:vMerge w:val="continue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551" w:type="dxa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网格员</w:t>
            </w:r>
            <w:r>
              <w:rPr>
                <w:rFonts w:asciiTheme="minorEastAsia" w:hAnsiTheme="minorEastAsia"/>
                <w:szCs w:val="21"/>
              </w:rPr>
              <w:t>信息展示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34" w:type="dxa"/>
            <w:gridSpan w:val="3"/>
            <w:vMerge w:val="continue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</w:tc>
        <w:tc>
          <w:tcPr>
            <w:tcW w:w="1551" w:type="dxa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网格员</w:t>
            </w:r>
            <w:r>
              <w:rPr>
                <w:rFonts w:asciiTheme="minorEastAsia" w:hAnsiTheme="minorEastAsia"/>
                <w:szCs w:val="21"/>
              </w:rPr>
              <w:t>区域展示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数据多级穿透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 xml:space="preserve">8 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决策预警平台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人员信息报表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党员信息报表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土地信息报表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b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事件处理报表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  <w:gridSpan w:val="4"/>
          </w:tcPr>
          <w:p>
            <w:pPr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组织信息报表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社会治安综合治理</w:t>
            </w:r>
            <w:r>
              <w:rPr>
                <w:rFonts w:ascii="宋体" w:cs="宋体"/>
                <w:szCs w:val="21"/>
              </w:rPr>
              <w:t>9+X</w:t>
            </w:r>
            <w:r>
              <w:rPr>
                <w:rFonts w:hint="eastAsia" w:ascii="宋体" w:cs="宋体"/>
                <w:szCs w:val="21"/>
              </w:rPr>
              <w:t>信息化应用管理指挥系统</w:t>
            </w:r>
            <w:r>
              <w:rPr>
                <w:rFonts w:ascii="宋体" w:cs="宋体"/>
                <w:szCs w:val="21"/>
              </w:rPr>
              <w:t>V6.0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                                                                                                                                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 xml:space="preserve">6000   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9</w:t>
            </w:r>
          </w:p>
        </w:tc>
        <w:tc>
          <w:tcPr>
            <w:tcW w:w="8889" w:type="dxa"/>
            <w:gridSpan w:val="11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手机</w:t>
            </w:r>
            <w:r>
              <w:rPr>
                <w:rFonts w:ascii="黑体" w:hAnsi="黑体" w:eastAsia="黑体" w:cs="宋体"/>
                <w:b/>
                <w:sz w:val="28"/>
                <w:szCs w:val="28"/>
              </w:rPr>
              <w:t>APP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首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页</w:t>
            </w: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网格员基本信息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待办事项的显示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通知公告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数据及快捷方式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实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有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信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息</w:t>
            </w: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采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集</w:t>
            </w: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实有建筑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实有房屋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实有人口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部件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组织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工作管理</w:t>
            </w: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事件管理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社情民意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信访管理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内部邮件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日志管理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 xml:space="preserve"> 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工作计划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restart"/>
          </w:tcPr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</w:p>
          <w:p>
            <w:pPr>
              <w:rPr>
                <w:rFonts w:ascii="黑体" w:hAnsi="黑体" w:eastAsia="黑体" w:cs="宋体"/>
                <w:b/>
                <w:sz w:val="24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个人中心</w:t>
            </w: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个人信息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通知公告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371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614" w:type="dxa"/>
            <w:gridSpan w:val="3"/>
          </w:tcPr>
          <w:p>
            <w:pPr>
              <w:rPr>
                <w:rFonts w:ascii="宋体"/>
                <w:szCs w:val="21"/>
              </w:rPr>
            </w:pP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设置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智慧管理用户应用版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</w:tbl>
    <w:tbl>
      <w:tblPr>
        <w:tblStyle w:val="4"/>
        <w:tblpPr w:leftFromText="180" w:rightFromText="180" w:vertAnchor="text" w:horzAnchor="page" w:tblpX="1335" w:tblpY="383"/>
        <w:tblOverlap w:val="never"/>
        <w:tblW w:w="94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985"/>
        <w:gridCol w:w="1986"/>
        <w:gridCol w:w="1440"/>
        <w:gridCol w:w="409"/>
        <w:gridCol w:w="425"/>
        <w:gridCol w:w="786"/>
        <w:gridCol w:w="1080"/>
        <w:gridCol w:w="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562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序号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名称</w:t>
            </w:r>
          </w:p>
        </w:tc>
        <w:tc>
          <w:tcPr>
            <w:tcW w:w="1986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规格型号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制造商</w:t>
            </w:r>
          </w:p>
        </w:tc>
        <w:tc>
          <w:tcPr>
            <w:tcW w:w="409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单位</w:t>
            </w: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数量</w:t>
            </w: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单价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合计</w:t>
            </w:r>
          </w:p>
        </w:tc>
        <w:tc>
          <w:tcPr>
            <w:tcW w:w="778" w:type="dxa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9451" w:type="dxa"/>
            <w:gridSpan w:val="9"/>
          </w:tcPr>
          <w:p>
            <w:pPr>
              <w:jc w:val="center"/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网络化管理硬件系统建设、系统集成培训及系统运维服务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62" w:type="dxa"/>
          </w:tcPr>
          <w:p>
            <w:pPr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ascii="黑体" w:hAnsi="黑体" w:eastAsia="黑体" w:cs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889" w:type="dxa"/>
            <w:gridSpan w:val="8"/>
          </w:tcPr>
          <w:p>
            <w:pPr>
              <w:rPr>
                <w:rFonts w:ascii="黑体" w:hAnsi="黑体" w:eastAsia="黑体" w:cs="宋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sz w:val="28"/>
                <w:szCs w:val="28"/>
              </w:rPr>
              <w:t>服务器（2台）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品牌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型号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制造商</w:t>
            </w:r>
          </w:p>
        </w:tc>
        <w:tc>
          <w:tcPr>
            <w:tcW w:w="409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台</w:t>
            </w:r>
          </w:p>
        </w:tc>
        <w:tc>
          <w:tcPr>
            <w:tcW w:w="425" w:type="dxa"/>
            <w:vMerge w:val="restart"/>
          </w:tcPr>
          <w:p>
            <w:pPr>
              <w:pStyle w:val="7"/>
              <w:spacing w:line="240" w:lineRule="auto"/>
            </w:pPr>
            <w:r>
              <w:rPr>
                <w:rFonts w:ascii="宋体" w:cs="宋体"/>
                <w:szCs w:val="21"/>
              </w:rPr>
              <w:t>2</w:t>
            </w:r>
          </w:p>
        </w:tc>
        <w:tc>
          <w:tcPr>
            <w:tcW w:w="786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31000</w:t>
            </w:r>
          </w:p>
        </w:tc>
        <w:tc>
          <w:tcPr>
            <w:tcW w:w="1080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62000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服务器外型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CPU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 2颗Intel至强可扩展CPU 4110(2.1GHz/8核）处理器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2U机架式原厂导轨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内存实配规格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32GB DDR4-2666内存，24个内存插槽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内置硬盘实配规格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2块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600GB 12G SAS 10K 2.5in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硬盘，可扩展至31块2.5寸热插拔硬盘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阵列控制器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嵌入式智能阵列卡（2GB 高速缓存）,支持raid 0,1,5，6 raid 级别，配置掉电保护模块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配置4个千兆网口，实配8个PCI-E插槽，可扩展至10个PCI-e插槽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HBA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配置1块双端口8Gb HBA卡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电源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550W交流电源模块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2块，1+1冗余配置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操作系统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</w:p>
          <w:p>
            <w:pPr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支持WINDOWS,LINUX,VMWARE操作系统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exac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售后服务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R4900G3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提供原厂商针对本项目的授权书及3年售后服务承诺函</w:t>
            </w:r>
          </w:p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2</w:t>
            </w:r>
          </w:p>
        </w:tc>
        <w:tc>
          <w:tcPr>
            <w:tcW w:w="8889" w:type="dxa"/>
            <w:gridSpan w:val="8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光纤交换机（1台）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规格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HPEAM866C</w:t>
            </w:r>
            <w:r>
              <w:rPr>
                <w:rFonts w:hint="eastAsia" w:asci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24口 8GB光钎交换机</w:t>
            </w:r>
          </w:p>
        </w:tc>
        <w:tc>
          <w:tcPr>
            <w:tcW w:w="1440" w:type="dxa"/>
          </w:tcPr>
          <w:p>
            <w:pPr>
              <w:jc w:val="left"/>
            </w:pPr>
            <w:r>
              <w:t> 新华三技术有限公司</w:t>
            </w:r>
          </w:p>
        </w:tc>
        <w:tc>
          <w:tcPr>
            <w:tcW w:w="409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台</w:t>
            </w:r>
          </w:p>
        </w:tc>
        <w:tc>
          <w:tcPr>
            <w:tcW w:w="425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29000</w:t>
            </w:r>
          </w:p>
        </w:tc>
        <w:tc>
          <w:tcPr>
            <w:tcW w:w="1080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29000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端口需求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HPEAM866C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24个端口,8端口激活 ,配置8个8Gb SFP+模块及配套线缆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售后服务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HPEAM866C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提供原厂商针对本项目的授权书及3年售后服务承诺函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3</w:t>
            </w:r>
          </w:p>
        </w:tc>
        <w:tc>
          <w:tcPr>
            <w:tcW w:w="8889" w:type="dxa"/>
            <w:gridSpan w:val="8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存储设备（1台）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存储控制器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pStyle w:val="7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2个热插拔存储控制器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台</w:t>
            </w:r>
          </w:p>
        </w:tc>
        <w:tc>
          <w:tcPr>
            <w:tcW w:w="425" w:type="dxa"/>
            <w:vMerge w:val="restart"/>
          </w:tcPr>
          <w:p>
            <w:pPr>
              <w:pStyle w:val="7"/>
              <w:spacing w:line="240" w:lineRule="auto"/>
              <w:rPr>
                <w:rFonts w:asci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786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65000</w:t>
            </w:r>
          </w:p>
        </w:tc>
        <w:tc>
          <w:tcPr>
            <w:tcW w:w="1080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65000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高速缓存配置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6GB/控制器，存储系统掉电无需电池进行保护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二级缓存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支持控制器SSD缓存扩展功能，支持缓存扩展容量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1.6TB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/控制器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主机端口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配置4个8Gbps主机端口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磁盘阵列容量配置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本次配置硬盘3块1.2TB 2.5”10K SAS硬盘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动态扩容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支持512个LUN，配置LUN动态扩容许可。单个L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UN支持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128TB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磁盘容错方式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支持RAID 0，1, 3, 5, 6, 10, 50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动态扩容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支持512个LUN，配置LUN动态扩容许可。单个L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UN支持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128TB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支持硬盘类型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支持SSD，SAS和SAS MDL磁盘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磁盘容错方式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支持RAID 0，1, 3, 5, 6, 10, 50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虚拟化阵列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支持数据卷跨越同时最多99块硬盘，无需进行Raid后空间再绑定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快照及克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配制磁盘快照功能，配制64个快照和卷克隆，可扩至512个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6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数据分层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数据自动分级功能。单个LUN中的数据，按照实际的I/O压力自动在SSD、SAS和SATA硬盘之间进行自动迁移，无需中断业务。自动分级存储功能支持I/O每个卷可在三个不同类型的硬盘之间进行自动迁移。可以进行手动或自动迁移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容灾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ind w:firstLine="420" w:firstLineChars="200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支持远程容灾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9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精简配置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支持提供卷的精简配置管理功能，即实际主机映射的存储空间超出存储实际拥有的磁盘空间。要求精简配置支持空间在线回收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断电保护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支持断电时将控制器缓存数据写入硬件存储设备中，可永久保护，在保护过程中不需要电池保护方式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负载均衡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支持Windows,Linux多路径负载，要求配置16个多路径负载均衡许可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管理软件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配置管理配置软件，WEB图形化管理界面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exac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售后服务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HPE MSA2040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提供原厂商针对本项目的授权书及3年售后服务承诺函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4</w:t>
            </w:r>
          </w:p>
        </w:tc>
        <w:tc>
          <w:tcPr>
            <w:tcW w:w="8889" w:type="dxa"/>
            <w:gridSpan w:val="8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核心交换机（1台）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7" w:hRule="atLeast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总体架构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主控、电源、风扇均采用冗余设计。支持云数据中心化所需的TRILL、FCoE和一虚多技术，完全兼容40GE和100GE以太网标准，机框高度4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U.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restart"/>
          </w:tcPr>
          <w:p>
            <w:pPr>
              <w:pStyle w:val="7"/>
            </w:pPr>
            <w:r>
              <w:rPr>
                <w:rFonts w:hint="eastAsia"/>
              </w:rPr>
              <w:t>台</w:t>
            </w:r>
          </w:p>
        </w:tc>
        <w:tc>
          <w:tcPr>
            <w:tcW w:w="425" w:type="dxa"/>
            <w:vMerge w:val="restart"/>
          </w:tcPr>
          <w:p>
            <w:pPr>
              <w:pStyle w:val="7"/>
            </w:pPr>
            <w:r>
              <w:t>1</w:t>
            </w:r>
          </w:p>
        </w:tc>
        <w:tc>
          <w:tcPr>
            <w:tcW w:w="786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48000</w:t>
            </w:r>
          </w:p>
        </w:tc>
        <w:tc>
          <w:tcPr>
            <w:tcW w:w="1080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48000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处理性能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cs="宋体"/>
                <w:szCs w:val="21"/>
              </w:rPr>
              <w:t>交换容量1</w:t>
            </w:r>
            <w:r>
              <w:rPr>
                <w:rFonts w:ascii="宋体" w:cs="宋体"/>
                <w:szCs w:val="21"/>
              </w:rPr>
              <w:t>9T</w:t>
            </w:r>
          </w:p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 xml:space="preserve">包转发 </w:t>
            </w:r>
            <w:r>
              <w:t>2880M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多业务特性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支持独立硬件SSL VPN业务模块；支持独立硬件LB负载均衡业务模块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8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横向虚拟化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支持将多台高端设备虚拟化为一台逻辑设备，通过分布式跨设备链路聚合技术，实现多条上行链路的负载分担和互为备份，从而提高整个网络架构的冗余性和链路资源的利用率。支持多虚一技术(N:1)，要求N=4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纵向虚拟化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支持在纵向维度上异构虚拟化，将核心和接入设备通过纵向虚拟化技术形成一台纵向逻辑虚拟设备，做到设备统一管理、配置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有线无线一体化</w:t>
            </w:r>
          </w:p>
        </w:tc>
        <w:tc>
          <w:tcPr>
            <w:tcW w:w="1986" w:type="dxa"/>
          </w:tcPr>
          <w:p>
            <w:pPr>
              <w:spacing w:line="276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本次所投交换机原生支持融合AC功能，直接能够管理无线AP支持有线无线一体化功能，具备终端定位、AC虚拟化、统一认证特性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配置要求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cs="宋体"/>
                <w:szCs w:val="21"/>
              </w:rPr>
              <w:t>2</w:t>
            </w:r>
            <w:r>
              <w:rPr>
                <w:rFonts w:ascii="宋体" w:cs="宋体"/>
                <w:szCs w:val="21"/>
              </w:rPr>
              <w:t>4</w:t>
            </w:r>
            <w:r>
              <w:rPr>
                <w:rFonts w:hint="eastAsia" w:ascii="宋体" w:cs="宋体"/>
                <w:szCs w:val="21"/>
              </w:rPr>
              <w:t>千兆电口、2</w:t>
            </w:r>
            <w:r>
              <w:rPr>
                <w:rFonts w:ascii="宋体" w:cs="宋体"/>
                <w:szCs w:val="21"/>
              </w:rPr>
              <w:t>4</w:t>
            </w:r>
            <w:r>
              <w:rPr>
                <w:rFonts w:hint="eastAsia" w:ascii="宋体" w:cs="宋体"/>
                <w:szCs w:val="21"/>
              </w:rPr>
              <w:t>千兆光口、8万兆光口配置双主控，双交流电源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 7503E-M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提供原厂商针对本项目的授权书及3年售后服务承诺函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5</w:t>
            </w:r>
          </w:p>
        </w:tc>
        <w:tc>
          <w:tcPr>
            <w:tcW w:w="8889" w:type="dxa"/>
            <w:gridSpan w:val="8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防火墙（1台）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产品架构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采用非X86 64位多核高性能处理器和高速存储器；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盒式设备，内置双交流电源；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台</w:t>
            </w:r>
          </w:p>
        </w:tc>
        <w:tc>
          <w:tcPr>
            <w:tcW w:w="425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 xml:space="preserve">1 </w:t>
            </w:r>
          </w:p>
        </w:tc>
        <w:tc>
          <w:tcPr>
            <w:tcW w:w="786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24000</w:t>
            </w:r>
          </w:p>
        </w:tc>
        <w:tc>
          <w:tcPr>
            <w:tcW w:w="1080" w:type="dxa"/>
            <w:vMerge w:val="restart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24000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端口要求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实配8个千兆光口，16个千兆电口，2个扩展槽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配置500G硬盘，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配置AV防病毒、特征库升级一年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虚拟化能力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支持虚拟防火墙的创建、启动、关闭、删除功能；可独立分配CPU/内存计算资源；虚拟防火墙可独立管理，独立保存配置；虚拟防火墙具备独立会话管理、NAT、路由等功能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产品性能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整机吞吐量4G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最大并发连接数400万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IPSec VPN并发连接数3000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每秒新建连接数6万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IPv6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基于IPv6的状态防火墙及攻击防范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IPv6协议：IPv6转发、ICMPv6、PMTU、Ping6、DNS6、TraceRT6、Telnet6、DHCPv6 Client、DHCPv6 Relay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IPv6路由：RIPng、OSPFv3、BGP4+、静态路由、策略路由、PIM-SM、PIM-DM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IPv6安全：NAT-PT、IPv6 Tunnel、IPv6 Packet Filter、Radius、IPv6域间策略、IPv6连接数限制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基本功能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支持AV病毒防护、IPS深度安全防护功能. 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支持应用层防护：入侵防御、带宽管理。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支持URL过滤、反垃圾邮件及敏感信息防泄漏功能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支持链路负载均衡功能、服务器负责均衡功能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562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配置要求</w:t>
            </w:r>
          </w:p>
        </w:tc>
        <w:tc>
          <w:tcPr>
            <w:tcW w:w="1986" w:type="dxa"/>
          </w:tcPr>
          <w:p>
            <w:pPr>
              <w:jc w:val="left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新华三</w:t>
            </w:r>
            <w:r>
              <w:rPr>
                <w:rFonts w:ascii="宋体" w:cs="宋体"/>
                <w:szCs w:val="21"/>
              </w:rPr>
              <w:t>H3CNS-SecPath F100-E-G2F100-E-G2</w:t>
            </w:r>
          </w:p>
          <w:p>
            <w:pPr>
              <w:pStyle w:val="7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本次配置AV防病毒授权服务1年，应用识别特征库升级服务3年。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t>新华三技术有限公司</w:t>
            </w:r>
          </w:p>
        </w:tc>
        <w:tc>
          <w:tcPr>
            <w:tcW w:w="409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425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86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1080" w:type="dxa"/>
            <w:vMerge w:val="continue"/>
          </w:tcPr>
          <w:p>
            <w:pPr>
              <w:rPr>
                <w:rFonts w:ascii="宋体" w:cs="宋体"/>
                <w:szCs w:val="21"/>
              </w:rPr>
            </w:pP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集成费用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</w:rPr>
              <w:t>网格化管理系统软件安装调试、培训、使用及硬件设备安装调试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项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运维服务费用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</w:rPr>
              <w:t>网格化管理系统运行时间服务、运维、办公人员工资、社会保障等费用。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color w:val="auto"/>
                <w:szCs w:val="21"/>
              </w:rPr>
            </w:pPr>
            <w:r>
              <w:rPr>
                <w:rFonts w:hint="eastAsia" w:ascii="宋体" w:cs="宋体"/>
                <w:color w:val="auto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color w:val="auto"/>
                <w:szCs w:val="21"/>
              </w:rPr>
              <w:t>项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b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110000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110000</w:t>
            </w:r>
            <w:bookmarkStart w:id="0" w:name="_GoBack"/>
            <w:bookmarkEnd w:id="0"/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移动终端费用</w:t>
            </w:r>
          </w:p>
        </w:tc>
        <w:tc>
          <w:tcPr>
            <w:tcW w:w="1986" w:type="dxa"/>
          </w:tcPr>
          <w:p>
            <w:r>
              <w:rPr>
                <w:rFonts w:hint="eastAsia"/>
              </w:rPr>
              <w:t>使用</w:t>
            </w:r>
            <w:r>
              <w:fldChar w:fldCharType="begin"/>
            </w:r>
            <w:r>
              <w:instrText xml:space="preserve"> HYPERLINK "https://detail.tmall.com/item.htm?spm=a220o.1000855.1000983.1.6af050f36W7edD&amp;id=581727960031&amp;standard=1" \t "_blank" </w:instrText>
            </w:r>
            <w:r>
              <w:fldChar w:fldCharType="separate"/>
            </w:r>
            <w:r>
              <w:rPr>
                <w:rStyle w:val="6"/>
              </w:rPr>
              <w:t>华为HONOR/荣耀10青春版</w:t>
            </w:r>
            <w:r>
              <w:rPr>
                <w:rStyle w:val="6"/>
              </w:rPr>
              <w:fldChar w:fldCharType="end"/>
            </w:r>
            <w:r>
              <w:rPr>
                <w:rFonts w:hint="eastAsia"/>
              </w:rPr>
              <w:t>全网通版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华为技术有限公司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项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Cs w:val="21"/>
              </w:rPr>
              <w:t>23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1700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39100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b/>
                <w:sz w:val="28"/>
                <w:szCs w:val="28"/>
              </w:rPr>
              <w:t>运营商线路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hAnsi="宋体"/>
              </w:rPr>
              <w:t>使用中国联通运营商线路费用</w:t>
            </w:r>
          </w:p>
        </w:tc>
        <w:tc>
          <w:tcPr>
            <w:tcW w:w="144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中国联通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项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b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5000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黑体" w:hAnsi="黑体" w:eastAsia="黑体" w:cs="宋体"/>
                <w:b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>
            <w:pPr>
              <w:rPr>
                <w:rFonts w:ascii="宋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辅材</w:t>
            </w:r>
          </w:p>
        </w:tc>
        <w:tc>
          <w:tcPr>
            <w:tcW w:w="1986" w:type="dxa"/>
          </w:tcPr>
          <w:p>
            <w:pPr>
              <w:jc w:val="left"/>
            </w:pPr>
            <w:r>
              <w:t>康普amp安普6类纯铜网线1427071-6六类千兆非屏蔽双绞线</w:t>
            </w:r>
            <w:r>
              <w:rPr>
                <w:rFonts w:hint="eastAsia"/>
              </w:rPr>
              <w:t>，</w:t>
            </w:r>
            <w:r>
              <w:t>大唐卫士D1-6042机柜</w:t>
            </w:r>
            <w:r>
              <w:rPr>
                <w:rFonts w:hint="eastAsia"/>
              </w:rPr>
              <w:t>，线缆辅材满足服务器机柜、网络布线等</w:t>
            </w:r>
          </w:p>
        </w:tc>
        <w:tc>
          <w:tcPr>
            <w:tcW w:w="1440" w:type="dxa"/>
          </w:tcPr>
          <w:p>
            <w:r>
              <w:t>美国泰科电子公司</w:t>
            </w:r>
          </w:p>
          <w:p/>
          <w:p>
            <w:r>
              <w:rPr>
                <w:rFonts w:hint="eastAsia"/>
              </w:rPr>
              <w:t>江苏大唐卫士科技有限公司</w:t>
            </w:r>
          </w:p>
          <w:p>
            <w:pPr>
              <w:pStyle w:val="7"/>
            </w:pP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批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cs="宋体" w:asciiTheme="minorEastAsia" w:hAnsiTheme="minorEastAsia" w:eastAsiaTheme="minorEastAsia"/>
                <w:b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8500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8500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9451" w:type="dxa"/>
            <w:gridSpan w:val="9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 w:val="28"/>
                <w:szCs w:val="28"/>
              </w:rPr>
              <w:t>根据伟森综治网格化管理系统平台增加项目（增值业务）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领导决策版</w:t>
            </w:r>
            <w:r>
              <w:rPr>
                <w:rFonts w:ascii="黑体" w:hAnsi="黑体" w:eastAsia="黑体" w:cs="宋体"/>
                <w:b/>
                <w:sz w:val="24"/>
              </w:rPr>
              <w:t>APP</w:t>
            </w:r>
            <w:r>
              <w:rPr>
                <w:rFonts w:hint="eastAsia" w:ascii="黑体" w:hAnsi="黑体" w:eastAsia="黑体" w:cs="宋体"/>
                <w:b/>
                <w:sz w:val="24"/>
              </w:rPr>
              <w:t>客户端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智慧管理领导决策版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2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服务群众版</w:t>
            </w:r>
            <w:r>
              <w:rPr>
                <w:rFonts w:ascii="黑体" w:hAnsi="黑体" w:eastAsia="黑体" w:cs="宋体"/>
                <w:b/>
                <w:sz w:val="24"/>
              </w:rPr>
              <w:t>APP</w:t>
            </w:r>
            <w:r>
              <w:rPr>
                <w:rFonts w:hint="eastAsia" w:ascii="黑体" w:hAnsi="黑体" w:eastAsia="黑体" w:cs="宋体"/>
                <w:b/>
                <w:sz w:val="24"/>
              </w:rPr>
              <w:t>客户端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智慧管理服务群众版</w:t>
            </w:r>
            <w:r>
              <w:rPr>
                <w:rFonts w:ascii="宋体" w:cs="宋体"/>
                <w:szCs w:val="21"/>
              </w:rPr>
              <w:t>APP</w:t>
            </w:r>
            <w:r>
              <w:rPr>
                <w:rFonts w:hint="eastAsia" w:ascii="宋体" w:cs="宋体"/>
                <w:szCs w:val="21"/>
              </w:rPr>
              <w:t>客户端软件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3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微信公众服务平台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伟森微信搭档智能服务平台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4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指挥调度子系统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伟森事件处置调度软件</w:t>
            </w:r>
            <w:r>
              <w:rPr>
                <w:rFonts w:ascii="宋体" w:cs="宋体"/>
                <w:szCs w:val="21"/>
              </w:rPr>
              <w:t xml:space="preserve">  V5.0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5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智能巡防子系统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伟森智能巡防系统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6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现场直播子系统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伟森视频会议系统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7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视频连线子系统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伟森视频会议系统</w:t>
            </w:r>
            <w:r>
              <w:rPr>
                <w:rFonts w:ascii="宋体" w:cs="宋体"/>
                <w:szCs w:val="21"/>
              </w:rPr>
              <w:t>V3.0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8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综治</w:t>
            </w:r>
            <w:r>
              <w:rPr>
                <w:rFonts w:ascii="黑体" w:hAnsi="黑体" w:eastAsia="黑体" w:cs="宋体"/>
                <w:b/>
                <w:sz w:val="24"/>
              </w:rPr>
              <w:t>9</w:t>
            </w:r>
            <w:r>
              <w:rPr>
                <w:rFonts w:hint="eastAsia" w:ascii="黑体" w:hAnsi="黑体" w:eastAsia="黑体" w:cs="宋体"/>
                <w:b/>
                <w:sz w:val="24"/>
              </w:rPr>
              <w:t>项大数据预测预警数据大屏</w:t>
            </w:r>
          </w:p>
        </w:tc>
        <w:tc>
          <w:tcPr>
            <w:tcW w:w="19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  <w:p>
            <w:pPr>
              <w:jc w:val="center"/>
            </w:pP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9</w:t>
            </w:r>
          </w:p>
        </w:tc>
        <w:tc>
          <w:tcPr>
            <w:tcW w:w="1985" w:type="dxa"/>
          </w:tcPr>
          <w:p>
            <w:pPr>
              <w:jc w:val="center"/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智能巡防指挥数据大屏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10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综治中心工作动态实时大数据数据大屏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62" w:type="dxa"/>
          </w:tcPr>
          <w:p>
            <w:pPr>
              <w:rPr>
                <w:rFonts w:ascii="黑体" w:hAnsi="黑体" w:eastAsia="黑体" w:cs="宋体"/>
                <w:bCs/>
                <w:sz w:val="28"/>
                <w:szCs w:val="28"/>
              </w:rPr>
            </w:pPr>
            <w:r>
              <w:rPr>
                <w:rFonts w:ascii="黑体" w:hAnsi="黑体" w:eastAsia="黑体" w:cs="宋体"/>
                <w:bCs/>
                <w:sz w:val="24"/>
              </w:rPr>
              <w:t>11</w:t>
            </w:r>
          </w:p>
        </w:tc>
        <w:tc>
          <w:tcPr>
            <w:tcW w:w="1985" w:type="dxa"/>
          </w:tcPr>
          <w:p>
            <w:pPr>
              <w:rPr>
                <w:rFonts w:ascii="黑体" w:hAnsi="黑体" w:eastAsia="黑体" w:cs="宋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sz w:val="24"/>
              </w:rPr>
              <w:t>治安警情大数据信息数据大屏</w:t>
            </w:r>
          </w:p>
        </w:tc>
        <w:tc>
          <w:tcPr>
            <w:tcW w:w="1986" w:type="dxa"/>
          </w:tcPr>
          <w:p>
            <w:r>
              <w:rPr>
                <w:rFonts w:hint="eastAsia" w:ascii="宋体" w:cs="宋体"/>
                <w:szCs w:val="21"/>
              </w:rPr>
              <w:t>伟森大数据可视化分析软件</w:t>
            </w:r>
            <w:r>
              <w:rPr>
                <w:rFonts w:ascii="宋体" w:cs="宋体"/>
                <w:szCs w:val="21"/>
              </w:rPr>
              <w:t xml:space="preserve"> V6.0</w:t>
            </w:r>
          </w:p>
        </w:tc>
        <w:tc>
          <w:tcPr>
            <w:tcW w:w="1440" w:type="dxa"/>
          </w:tcPr>
          <w:p>
            <w:r>
              <w:rPr>
                <w:rFonts w:hint="eastAsia" w:ascii="宋体" w:cs="宋体"/>
                <w:szCs w:val="21"/>
              </w:rPr>
              <w:t>河南伟森科技有限公司</w:t>
            </w:r>
          </w:p>
        </w:tc>
        <w:tc>
          <w:tcPr>
            <w:tcW w:w="409" w:type="dxa"/>
          </w:tcPr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套</w:t>
            </w:r>
          </w:p>
        </w:tc>
        <w:tc>
          <w:tcPr>
            <w:tcW w:w="425" w:type="dxa"/>
          </w:tcPr>
          <w:p>
            <w:pPr>
              <w:rPr>
                <w:rFonts w:cs="宋体" w:asciiTheme="minorEastAsia" w:hAnsiTheme="minorEastAsia" w:eastAsiaTheme="minorEastAsia"/>
                <w:b/>
                <w:szCs w:val="21"/>
              </w:rPr>
            </w:pPr>
            <w:r>
              <w:rPr>
                <w:rFonts w:ascii="宋体" w:cs="宋体"/>
                <w:szCs w:val="21"/>
              </w:rPr>
              <w:t>1</w:t>
            </w:r>
          </w:p>
        </w:tc>
        <w:tc>
          <w:tcPr>
            <w:tcW w:w="786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ascii="宋体" w:cs="宋体"/>
                <w:szCs w:val="21"/>
              </w:rPr>
              <w:t>0</w:t>
            </w:r>
          </w:p>
        </w:tc>
        <w:tc>
          <w:tcPr>
            <w:tcW w:w="1080" w:type="dxa"/>
          </w:tcPr>
          <w:p>
            <w:pPr>
              <w:pStyle w:val="7"/>
              <w:rPr>
                <w:rFonts w:ascii="宋体" w:cs="宋体"/>
                <w:szCs w:val="21"/>
              </w:rPr>
            </w:pPr>
            <w:r>
              <w:rPr>
                <w:rFonts w:hint="eastAsia"/>
              </w:rPr>
              <w:t>0</w:t>
            </w:r>
          </w:p>
        </w:tc>
        <w:tc>
          <w:tcPr>
            <w:tcW w:w="778" w:type="dxa"/>
          </w:tcPr>
          <w:p>
            <w:pPr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增值免费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593" w:type="dxa"/>
            <w:gridSpan w:val="7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hint="eastAsia" w:ascii="宋体" w:cs="宋体"/>
                <w:szCs w:val="21"/>
              </w:rPr>
              <w:t>1363600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71CA4"/>
    <w:rsid w:val="68C7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character" w:styleId="6">
    <w:name w:val="Hyperlink"/>
    <w:basedOn w:val="5"/>
    <w:qFormat/>
    <w:uiPriority w:val="99"/>
    <w:rPr>
      <w:rFonts w:cs="Times New Roman"/>
      <w:color w:val="000033"/>
      <w:u w:val="none"/>
    </w:rPr>
  </w:style>
  <w:style w:type="paragraph" w:customStyle="1" w:styleId="7">
    <w:name w:val="无间隔1"/>
    <w:basedOn w:val="1"/>
    <w:qFormat/>
    <w:uiPriority w:val="99"/>
    <w:pPr>
      <w:spacing w:line="400" w:lineRule="exac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2019-05-08T03:00:00Z</dcterms:created>
  <dc:creator>Administrator</dc:creator>
  <cp:lastModifiedBy>Administrator</cp:lastModifiedBy>
  <dcterms:modified xsi:type="dcterms:W3CDTF">2019-05-08T03:05:17Z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